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“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乐山市第一职业高级中学搬迁扩建项目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”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黑体"/>
          <w:lang w:val="en-US" w:eastAsia="zh-CN"/>
        </w:rPr>
      </w:pPr>
      <w:r>
        <w:rPr>
          <w:rFonts w:hint="eastAsia" w:ascii="黑体" w:hAnsi="宋体" w:eastAsia="黑体"/>
          <w:lang w:val="zh-CN"/>
        </w:rPr>
        <w:t>“乐山市第一职业高级中学搬迁扩建项目”</w:t>
      </w:r>
      <w:r>
        <w:rPr>
          <w:rFonts w:hint="eastAsia" w:ascii="黑体" w:hAnsi="宋体" w:eastAsia="黑体"/>
          <w:lang w:val="zh-CN" w:eastAsia="zh-CN"/>
        </w:rPr>
        <w:t>规模</w:t>
      </w:r>
      <w:r>
        <w:rPr>
          <w:rFonts w:hint="eastAsia" w:ascii="黑体" w:hAnsi="宋体" w:eastAsia="黑体"/>
          <w:lang w:val="en-US" w:eastAsia="zh-CN"/>
        </w:rPr>
        <w:t>697.18万元，用于支付新校园建设进度款。我校</w:t>
      </w:r>
      <w:r>
        <w:rPr>
          <w:rFonts w:hint="eastAsia" w:ascii="黑体" w:hAnsi="宋体" w:eastAsia="黑体"/>
          <w:lang w:val="zh-CN"/>
        </w:rPr>
        <w:t>新校园建设是乐山的挂牌督办的项目。</w:t>
      </w:r>
      <w:bookmarkStart w:id="0" w:name="_GoBack"/>
      <w:bookmarkEnd w:id="0"/>
      <w:r>
        <w:rPr>
          <w:rFonts w:hint="eastAsia" w:ascii="黑体" w:hAnsi="宋体" w:eastAsia="黑体"/>
          <w:lang w:val="zh-CN"/>
        </w:rPr>
        <w:t>新校园办学设计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sz w:val="32"/>
          <w:szCs w:val="32"/>
          <w:lang w:val="en-US" w:eastAsia="zh-CN"/>
        </w:rPr>
        <w:t>立项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规划建设12.6万平方米，</w:t>
      </w:r>
      <w:r>
        <w:rPr>
          <w:rFonts w:hint="eastAsia" w:ascii="黑体" w:hAnsi="宋体" w:eastAsia="黑体"/>
          <w:lang w:val="zh-CN"/>
        </w:rPr>
        <w:t>规模中职学历教育在校学生6000人，在岗、转岗和农村剩余劳动力转移等非学历培训每年3000人以上。项目选址位于乐山市市中区苏稽镇顺江村，乐山高职院新校区旁边。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项目资金由学校经财政大平台指标中提交申报，申请单交由财政经办科室审批，符合资金管理办法的申报及批复程序。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4" w:firstLineChars="3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项目主要内容为支付新校园建设进度款。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该项目资金申报目标合理可行，与申报相符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1．资金计划及到位：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市级资金下达计划及时，申报到位及时。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项目使用按学校新校园办公室管理，与代建方衔接，根据工程进度及代建合同，代建方申请支付进度款，由学校经办员交由上级部门及财政评审中心审核后，支付进度款，符合项目计划安排及绩效目标。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项目资金进入学校财务管理，在项目设置管理机构，会计核算按财政要求的方式核算，账务处理规范及时。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项目组织实施情况：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项目由政府立项，已环保登记、整体进行可行性评估，按建安工程相关规定组织实施。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（一）项目完成情况：截止评价，项目已完成支付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（二）项目效益情况：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项目资金支付完毕后，对工程进度影响极大，地方经济受益，社会反映好。代建方满意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（一）存在的问题：无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（二）相关建议：无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DD12E"/>
    <w:multiLevelType w:val="singleLevel"/>
    <w:tmpl w:val="27DDD1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B0C4A47"/>
    <w:multiLevelType w:val="singleLevel"/>
    <w:tmpl w:val="4B0C4A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417211"/>
    <w:rsid w:val="004B6F67"/>
    <w:rsid w:val="00B53A36"/>
    <w:rsid w:val="0EDB478C"/>
    <w:rsid w:val="291C455A"/>
    <w:rsid w:val="36926D0C"/>
    <w:rsid w:val="40CA4DD0"/>
    <w:rsid w:val="4DAF2BCF"/>
    <w:rsid w:val="4DDB6F66"/>
    <w:rsid w:val="59E31150"/>
    <w:rsid w:val="5C830F15"/>
    <w:rsid w:val="792F2AEE"/>
    <w:rsid w:val="7D44586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14</TotalTime>
  <ScaleCrop>false</ScaleCrop>
  <LinksUpToDate>false</LinksUpToDate>
  <CharactersWithSpaces>886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2022-06-15T06:17:43Z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