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 w:line="622" w:lineRule="exact"/>
        <w:ind w:left="1720" w:right="647" w:hanging="684"/>
        <w:jc w:val="center"/>
        <w:outlineLvl w:val="0"/>
        <w:rPr>
          <w:rFonts w:ascii="黑体" w:hAnsi="黑体" w:eastAsia="黑体" w:cs="黑体"/>
          <w:sz w:val="48"/>
          <w:szCs w:val="48"/>
        </w:rPr>
      </w:pPr>
      <w:bookmarkStart w:id="0" w:name="_Toc16239"/>
      <w:bookmarkStart w:id="1" w:name="_Toc12697"/>
      <w:bookmarkStart w:id="2" w:name="_Toc23037"/>
      <w:r>
        <w:rPr>
          <w:rFonts w:hint="eastAsia" w:ascii="黑体" w:hAnsi="黑体" w:eastAsia="黑体" w:cs="黑体"/>
          <w:spacing w:val="-24"/>
          <w:sz w:val="48"/>
          <w:szCs w:val="48"/>
          <w:lang w:val="en-US" w:eastAsia="zh-CN"/>
        </w:rPr>
        <w:t>XX</w:t>
      </w:r>
      <w:r>
        <w:rPr>
          <w:rFonts w:ascii="黑体" w:hAnsi="黑体" w:eastAsia="黑体" w:cs="黑体"/>
          <w:spacing w:val="-24"/>
          <w:sz w:val="48"/>
          <w:szCs w:val="48"/>
        </w:rPr>
        <w:t>省</w:t>
      </w:r>
      <w:r>
        <w:rPr>
          <w:rFonts w:hint="eastAsia" w:ascii="黑体" w:hAnsi="黑体" w:eastAsia="黑体" w:cs="黑体"/>
          <w:spacing w:val="-24"/>
          <w:sz w:val="48"/>
          <w:szCs w:val="48"/>
          <w:lang w:val="en-US" w:eastAsia="zh-CN"/>
        </w:rPr>
        <w:t>XX</w:t>
      </w:r>
      <w:r>
        <w:rPr>
          <w:rFonts w:ascii="黑体" w:hAnsi="黑体" w:eastAsia="黑体" w:cs="黑体"/>
          <w:spacing w:val="-24"/>
          <w:sz w:val="48"/>
          <w:szCs w:val="48"/>
        </w:rPr>
        <w:t>市</w:t>
      </w:r>
      <w:r>
        <w:rPr>
          <w:rFonts w:hint="eastAsia" w:ascii="黑体" w:hAnsi="黑体" w:eastAsia="黑体" w:cs="黑体"/>
          <w:spacing w:val="-24"/>
          <w:sz w:val="48"/>
          <w:szCs w:val="48"/>
          <w:lang w:val="en-US" w:eastAsia="zh-CN"/>
        </w:rPr>
        <w:t>XX</w:t>
      </w:r>
      <w:r>
        <w:rPr>
          <w:rFonts w:ascii="黑体" w:hAnsi="黑体" w:eastAsia="黑体" w:cs="黑体"/>
          <w:spacing w:val="-24"/>
          <w:sz w:val="48"/>
          <w:szCs w:val="48"/>
        </w:rPr>
        <w:t>学</w:t>
      </w:r>
      <w:r>
        <w:rPr>
          <w:rFonts w:ascii="黑体" w:hAnsi="黑体" w:eastAsia="黑体" w:cs="黑体"/>
          <w:sz w:val="48"/>
          <w:szCs w:val="48"/>
        </w:rPr>
        <w:t>校</w:t>
      </w:r>
      <w:bookmarkEnd w:id="0"/>
      <w:bookmarkEnd w:id="1"/>
    </w:p>
    <w:p>
      <w:pPr>
        <w:spacing w:before="15" w:line="622" w:lineRule="exact"/>
        <w:ind w:left="1720" w:right="647" w:hanging="684"/>
        <w:jc w:val="center"/>
        <w:outlineLvl w:val="0"/>
        <w:rPr>
          <w:rFonts w:ascii="黑体" w:hAnsi="黑体" w:eastAsia="黑体" w:cs="黑体"/>
          <w:sz w:val="48"/>
          <w:szCs w:val="48"/>
        </w:rPr>
      </w:pPr>
      <w:bookmarkStart w:id="3" w:name="_Toc25949"/>
      <w:bookmarkStart w:id="4" w:name="_Toc261"/>
      <w:r>
        <w:rPr>
          <w:rFonts w:ascii="黑体" w:hAnsi="黑体" w:eastAsia="黑体" w:cs="黑体"/>
          <w:spacing w:val="-24"/>
          <w:sz w:val="48"/>
          <w:szCs w:val="48"/>
        </w:rPr>
        <w:t>电子商务专业人才培养方</w:t>
      </w:r>
      <w:r>
        <w:rPr>
          <w:rFonts w:ascii="黑体" w:hAnsi="黑体" w:eastAsia="黑体" w:cs="黑体"/>
          <w:sz w:val="48"/>
          <w:szCs w:val="48"/>
        </w:rPr>
        <w:t>案</w:t>
      </w:r>
      <w:bookmarkEnd w:id="3"/>
      <w:bookmarkEnd w:id="4"/>
    </w:p>
    <w:p>
      <w:pPr>
        <w:spacing w:before="0" w:line="240" w:lineRule="auto"/>
        <w:rPr>
          <w:rFonts w:ascii="黑体" w:hAnsi="黑体" w:eastAsia="黑体" w:cs="黑体"/>
          <w:sz w:val="48"/>
          <w:szCs w:val="48"/>
        </w:rPr>
      </w:pPr>
    </w:p>
    <w:p>
      <w:pPr>
        <w:spacing w:before="0" w:line="240" w:lineRule="auto"/>
        <w:rPr>
          <w:rFonts w:ascii="黑体" w:hAnsi="黑体" w:eastAsia="黑体" w:cs="黑体"/>
          <w:sz w:val="48"/>
          <w:szCs w:val="48"/>
        </w:rPr>
      </w:pPr>
    </w:p>
    <w:p>
      <w:pPr>
        <w:tabs>
          <w:tab w:val="left" w:pos="4559"/>
          <w:tab w:val="left" w:pos="7197"/>
        </w:tabs>
        <w:spacing w:before="0"/>
        <w:ind w:right="0"/>
        <w:jc w:val="both"/>
        <w:rPr>
          <w:rFonts w:ascii="Times New Roman" w:hAnsi="Times New Roman" w:eastAsia="Times New Roman" w:cs="Times New Roman"/>
          <w:sz w:val="32"/>
          <w:szCs w:val="32"/>
        </w:rPr>
      </w:pPr>
      <w:r>
        <w:rPr>
          <w:rFonts w:ascii="黑体" w:hAnsi="黑体" w:eastAsia="黑体" w:cs="黑体"/>
          <w:w w:val="95"/>
          <w:sz w:val="32"/>
          <w:szCs w:val="32"/>
        </w:rPr>
        <w:t>专业大类：</w:t>
      </w:r>
      <w:r>
        <w:rPr>
          <w:rFonts w:ascii="黑体" w:hAnsi="黑体" w:eastAsia="黑体" w:cs="黑体"/>
          <w:sz w:val="32"/>
          <w:szCs w:val="32"/>
          <w:u w:val="single" w:color="000000"/>
        </w:rPr>
        <w:t>财经商贸类</w:t>
      </w:r>
    </w:p>
    <w:p>
      <w:pPr>
        <w:spacing w:before="0" w:line="240" w:lineRule="auto"/>
        <w:jc w:val="both"/>
        <w:rPr>
          <w:rFonts w:ascii="Times New Roman" w:hAnsi="Times New Roman" w:eastAsia="Times New Roman" w:cs="Times New Roman"/>
          <w:sz w:val="20"/>
          <w:szCs w:val="20"/>
        </w:rPr>
      </w:pPr>
    </w:p>
    <w:p>
      <w:pPr>
        <w:spacing w:before="0" w:line="240" w:lineRule="auto"/>
        <w:jc w:val="both"/>
        <w:rPr>
          <w:rFonts w:ascii="Times New Roman" w:hAnsi="Times New Roman" w:eastAsia="Times New Roman" w:cs="Times New Roman"/>
          <w:sz w:val="20"/>
          <w:szCs w:val="20"/>
        </w:rPr>
      </w:pPr>
    </w:p>
    <w:p>
      <w:pPr>
        <w:spacing w:before="0" w:line="240" w:lineRule="auto"/>
        <w:jc w:val="both"/>
        <w:rPr>
          <w:rFonts w:ascii="Times New Roman" w:hAnsi="Times New Roman" w:eastAsia="Times New Roman" w:cs="Times New Roman"/>
          <w:sz w:val="20"/>
          <w:szCs w:val="20"/>
        </w:rPr>
      </w:pPr>
    </w:p>
    <w:p>
      <w:pPr>
        <w:spacing w:before="0" w:line="240" w:lineRule="auto"/>
        <w:jc w:val="both"/>
        <w:rPr>
          <w:rFonts w:ascii="Times New Roman" w:hAnsi="Times New Roman" w:eastAsia="Times New Roman" w:cs="Times New Roman"/>
          <w:sz w:val="20"/>
          <w:szCs w:val="20"/>
        </w:rPr>
      </w:pPr>
    </w:p>
    <w:p>
      <w:pPr>
        <w:spacing w:before="8" w:line="240" w:lineRule="auto"/>
        <w:jc w:val="both"/>
        <w:rPr>
          <w:rFonts w:ascii="Times New Roman" w:hAnsi="Times New Roman" w:eastAsia="Times New Roman" w:cs="Times New Roman"/>
          <w:sz w:val="16"/>
          <w:szCs w:val="16"/>
        </w:rPr>
      </w:pPr>
    </w:p>
    <w:p>
      <w:pPr>
        <w:tabs>
          <w:tab w:val="left" w:pos="4720"/>
          <w:tab w:val="left" w:pos="7263"/>
        </w:tabs>
        <w:spacing w:before="0"/>
        <w:ind w:right="0"/>
        <w:jc w:val="both"/>
        <w:rPr>
          <w:rFonts w:ascii="Times New Roman" w:hAnsi="Times New Roman" w:eastAsia="Times New Roman" w:cs="Times New Roman"/>
          <w:sz w:val="32"/>
          <w:szCs w:val="32"/>
        </w:rPr>
      </w:pPr>
      <w:bookmarkStart w:id="5" w:name="专业名称：电子商务"/>
      <w:bookmarkEnd w:id="5"/>
      <w:r>
        <w:rPr>
          <w:rFonts w:ascii="黑体" w:hAnsi="黑体" w:eastAsia="黑体" w:cs="黑体"/>
          <w:w w:val="95"/>
          <w:sz w:val="32"/>
          <w:szCs w:val="32"/>
        </w:rPr>
        <w:t>专业名称：</w:t>
      </w:r>
      <w:r>
        <w:rPr>
          <w:rFonts w:ascii="黑体" w:hAnsi="黑体" w:eastAsia="黑体" w:cs="黑体"/>
          <w:sz w:val="32"/>
          <w:szCs w:val="32"/>
          <w:u w:val="single" w:color="000000"/>
        </w:rPr>
        <w:t>电子商务</w:t>
      </w:r>
      <w:r>
        <w:rPr>
          <w:rFonts w:ascii="Times New Roman" w:hAnsi="Times New Roman" w:eastAsia="Times New Roman" w:cs="Times New Roman"/>
          <w:w w:val="99"/>
          <w:sz w:val="32"/>
          <w:szCs w:val="32"/>
          <w:u w:val="single" w:color="000000"/>
        </w:rPr>
        <w:t xml:space="preserve"> </w:t>
      </w:r>
    </w:p>
    <w:p>
      <w:pPr>
        <w:spacing w:before="0" w:line="240" w:lineRule="auto"/>
        <w:jc w:val="both"/>
        <w:rPr>
          <w:rFonts w:ascii="Times New Roman" w:hAnsi="Times New Roman" w:eastAsia="Times New Roman" w:cs="Times New Roman"/>
          <w:sz w:val="34"/>
          <w:szCs w:val="34"/>
        </w:rPr>
      </w:pPr>
    </w:p>
    <w:p>
      <w:pPr>
        <w:spacing w:before="0" w:line="240" w:lineRule="auto"/>
        <w:jc w:val="both"/>
        <w:rPr>
          <w:rFonts w:ascii="Times New Roman" w:hAnsi="Times New Roman" w:eastAsia="Times New Roman" w:cs="Times New Roman"/>
          <w:sz w:val="34"/>
          <w:szCs w:val="34"/>
        </w:rPr>
      </w:pPr>
    </w:p>
    <w:p>
      <w:pPr>
        <w:spacing w:before="6" w:line="240" w:lineRule="auto"/>
        <w:jc w:val="both"/>
        <w:rPr>
          <w:rFonts w:ascii="Times New Roman" w:hAnsi="Times New Roman" w:eastAsia="Times New Roman" w:cs="Times New Roman"/>
          <w:sz w:val="28"/>
          <w:szCs w:val="28"/>
        </w:rPr>
      </w:pPr>
    </w:p>
    <w:p>
      <w:pPr>
        <w:tabs>
          <w:tab w:val="left" w:pos="4879"/>
          <w:tab w:val="left" w:pos="7195"/>
        </w:tabs>
        <w:spacing w:before="0"/>
        <w:ind w:right="0"/>
        <w:jc w:val="both"/>
        <w:rPr>
          <w:rFonts w:ascii="Times New Roman" w:hAnsi="Times New Roman" w:eastAsia="Times New Roman" w:cs="Times New Roman"/>
          <w:sz w:val="32"/>
          <w:szCs w:val="32"/>
        </w:rPr>
      </w:pPr>
      <w:r>
        <w:rPr>
          <w:rFonts w:ascii="黑体" w:hAnsi="黑体" w:eastAsia="黑体" w:cs="黑体"/>
          <w:w w:val="95"/>
          <w:sz w:val="32"/>
          <w:szCs w:val="32"/>
        </w:rPr>
        <w:t>专业代码：</w:t>
      </w:r>
      <w:r>
        <w:rPr>
          <w:rFonts w:ascii="黑体" w:hAnsi="黑体" w:eastAsia="黑体" w:cs="黑体"/>
          <w:sz w:val="32"/>
          <w:szCs w:val="32"/>
          <w:u w:val="single" w:color="000000"/>
        </w:rPr>
        <w:t>730701</w:t>
      </w:r>
      <w:r>
        <w:rPr>
          <w:rFonts w:ascii="Times New Roman" w:hAnsi="Times New Roman" w:eastAsia="Times New Roman" w:cs="Times New Roman"/>
          <w:w w:val="99"/>
          <w:sz w:val="32"/>
          <w:szCs w:val="32"/>
          <w:u w:val="single" w:color="000000"/>
        </w:rPr>
        <w:t xml:space="preserve"> </w:t>
      </w:r>
    </w:p>
    <w:p>
      <w:pPr>
        <w:spacing w:before="0" w:line="240" w:lineRule="auto"/>
        <w:jc w:val="both"/>
        <w:rPr>
          <w:rFonts w:ascii="Times New Roman" w:hAnsi="Times New Roman" w:eastAsia="Times New Roman" w:cs="Times New Roman"/>
          <w:sz w:val="20"/>
          <w:szCs w:val="20"/>
        </w:rPr>
      </w:pPr>
    </w:p>
    <w:p>
      <w:pPr>
        <w:spacing w:before="0" w:line="240" w:lineRule="auto"/>
        <w:jc w:val="both"/>
        <w:rPr>
          <w:rFonts w:ascii="Times New Roman" w:hAnsi="Times New Roman" w:eastAsia="Times New Roman" w:cs="Times New Roman"/>
          <w:sz w:val="20"/>
          <w:szCs w:val="20"/>
        </w:rPr>
      </w:pPr>
      <w:bookmarkStart w:id="88" w:name="_GoBack"/>
      <w:bookmarkEnd w:id="88"/>
    </w:p>
    <w:p>
      <w:pPr>
        <w:spacing w:before="0" w:line="240" w:lineRule="auto"/>
        <w:jc w:val="both"/>
        <w:rPr>
          <w:rFonts w:ascii="Times New Roman" w:hAnsi="Times New Roman" w:eastAsia="Times New Roman" w:cs="Times New Roman"/>
          <w:sz w:val="20"/>
          <w:szCs w:val="20"/>
        </w:rPr>
      </w:pPr>
    </w:p>
    <w:p>
      <w:pPr>
        <w:spacing w:before="0" w:line="240" w:lineRule="auto"/>
        <w:jc w:val="both"/>
        <w:rPr>
          <w:rFonts w:ascii="Times New Roman" w:hAnsi="Times New Roman" w:eastAsia="Times New Roman" w:cs="Times New Roman"/>
          <w:sz w:val="20"/>
          <w:szCs w:val="20"/>
        </w:rPr>
      </w:pPr>
    </w:p>
    <w:p>
      <w:pPr>
        <w:spacing w:before="8" w:line="240" w:lineRule="auto"/>
        <w:jc w:val="both"/>
        <w:rPr>
          <w:rFonts w:ascii="Times New Roman" w:hAnsi="Times New Roman" w:eastAsia="Times New Roman" w:cs="Times New Roman"/>
          <w:sz w:val="16"/>
          <w:szCs w:val="16"/>
        </w:rPr>
      </w:pPr>
    </w:p>
    <w:p>
      <w:pPr>
        <w:rPr>
          <w:rFonts w:hint="eastAsia"/>
        </w:rPr>
      </w:pPr>
      <w:bookmarkStart w:id="6" w:name="制订时间：2020年 04月"/>
      <w:bookmarkEnd w:id="6"/>
    </w:p>
    <w:p>
      <w:pPr>
        <w:rPr>
          <w:rFonts w:hint="eastAsia" w:eastAsia="宋体"/>
          <w:lang w:val="en-US" w:eastAsia="zh-CN"/>
        </w:rPr>
      </w:pPr>
      <w:r>
        <w:rPr>
          <w:rFonts w:hint="eastAsia"/>
        </w:rPr>
        <w:br w:type="page"/>
      </w:r>
    </w:p>
    <w:sdt>
      <w:sdtPr>
        <w:rPr>
          <w:rFonts w:ascii="宋体" w:hAnsi="宋体" w:eastAsia="宋体" w:cstheme="minorBidi"/>
          <w:b/>
          <w:bCs/>
          <w:sz w:val="32"/>
          <w:szCs w:val="36"/>
          <w:lang w:val="en-US" w:eastAsia="en-US" w:bidi="ar-SA"/>
        </w:rPr>
        <w:id w:val="147458530"/>
        <w15:color w:val="DBDBDB"/>
        <w:docPartObj>
          <w:docPartGallery w:val="Table of Contents"/>
          <w:docPartUnique/>
        </w:docPartObj>
      </w:sdtPr>
      <w:sdtEndPr>
        <w:rPr>
          <w:rFonts w:ascii="宋体" w:hAnsi="宋体" w:eastAsia="宋体" w:cstheme="minorBidi"/>
          <w:b/>
          <w:bCs/>
          <w:sz w:val="32"/>
          <w:szCs w:val="36"/>
          <w:lang w:val="en-US" w:eastAsia="en-US"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36"/>
              <w:szCs w:val="36"/>
            </w:rPr>
          </w:pPr>
          <w:r>
            <w:rPr>
              <w:rFonts w:hint="default" w:ascii="Times New Roman" w:hAnsi="Times New Roman" w:eastAsia="宋体" w:cs="Times New Roman"/>
              <w:b/>
              <w:bCs/>
              <w:sz w:val="32"/>
              <w:szCs w:val="36"/>
            </w:rPr>
            <w:t>目</w:t>
          </w:r>
          <w:r>
            <w:rPr>
              <w:rFonts w:hint="default" w:ascii="Times New Roman" w:hAnsi="Times New Roman" w:eastAsia="宋体" w:cs="Times New Roman"/>
              <w:b/>
              <w:bCs/>
              <w:sz w:val="32"/>
              <w:szCs w:val="36"/>
              <w:lang w:val="en-US" w:eastAsia="zh-CN"/>
            </w:rPr>
            <w:t xml:space="preserve">  </w:t>
          </w:r>
          <w:r>
            <w:rPr>
              <w:rFonts w:hint="default" w:ascii="Times New Roman" w:hAnsi="Times New Roman" w:eastAsia="宋体" w:cs="Times New Roman"/>
              <w:b/>
              <w:bCs/>
              <w:sz w:val="32"/>
              <w:szCs w:val="36"/>
            </w:rPr>
            <w:t>录</w:t>
          </w:r>
        </w:p>
        <w:p>
          <w:pPr>
            <w:pStyle w:val="15"/>
            <w:tabs>
              <w:tab w:val="right" w:leader="dot" w:pos="8306"/>
            </w:tabs>
            <w:rPr>
              <w:rFonts w:hint="default" w:ascii="Times New Roman" w:hAnsi="Times New Roman" w:cs="Times New Roman"/>
              <w:b w:val="0"/>
              <w:bCs w:val="0"/>
            </w:rPr>
          </w:pPr>
          <w:r>
            <w:rPr>
              <w:rFonts w:hint="default" w:ascii="Times New Roman" w:hAnsi="Times New Roman" w:cs="Times New Roman"/>
              <w:b w:val="0"/>
              <w:bCs w:val="0"/>
            </w:rPr>
            <w:fldChar w:fldCharType="begin"/>
          </w:r>
          <w:r>
            <w:rPr>
              <w:rFonts w:hint="default" w:ascii="Times New Roman" w:hAnsi="Times New Roman" w:cs="Times New Roman"/>
              <w:b w:val="0"/>
              <w:bCs w:val="0"/>
            </w:rPr>
            <w:instrText xml:space="preserve">TOC \o "1-3" \h \u </w:instrText>
          </w:r>
          <w:r>
            <w:rPr>
              <w:rFonts w:hint="default" w:ascii="Times New Roman" w:hAnsi="Times New Roman" w:cs="Times New Roman"/>
              <w:b w:val="0"/>
              <w:bCs w:val="0"/>
            </w:rPr>
            <w:fldChar w:fldCharType="separate"/>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_Toc12915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一、专业名称及代码</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_Toc12915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_Toc13369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二、入学要求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_Toc13369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_Toc19778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三、修业年限</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_Toc19778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_Toc23244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四、职业面向</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_Toc23244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_Toc19758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五、培养目标与培养规格</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_Toc19758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_Toc30257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szCs w:val="28"/>
            </w:rPr>
            <w:t>（一）培养目标</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_Toc30257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_Toc18208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szCs w:val="28"/>
            </w:rPr>
            <w:t>（二）培养规格</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_Toc18208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7"/>
            <w:tabs>
              <w:tab w:val="right" w:leader="dot" w:pos="8306"/>
            </w:tabs>
            <w:ind w:firstLine="40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_Toc19232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szCs w:val="28"/>
            </w:rPr>
            <w:t>1.知识目标</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_Toc19232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7"/>
            <w:tabs>
              <w:tab w:val="right" w:leader="dot" w:pos="8306"/>
            </w:tabs>
            <w:ind w:firstLine="40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_Toc2734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szCs w:val="28"/>
            </w:rPr>
            <w:t>2.能力目标</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_Toc2734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7"/>
            <w:tabs>
              <w:tab w:val="right" w:leader="dot" w:pos="8306"/>
            </w:tabs>
            <w:ind w:firstLine="400" w:firstLineChars="2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_Toc6537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szCs w:val="28"/>
            </w:rPr>
            <w:t>3.素养目标</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_Toc6537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3</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_Toc13272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六、课程设置及要求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_Toc13272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3</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_Toc11104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zCs w:val="30"/>
            </w:rPr>
            <w:t>（一）公共基础课</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_Toc11104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3</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_Toc29445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zCs w:val="30"/>
              <w:lang w:val="en-US" w:eastAsia="zh-CN"/>
            </w:rPr>
            <w:t>（二）</w:t>
          </w:r>
          <w:r>
            <w:rPr>
              <w:rFonts w:hint="default" w:ascii="Times New Roman" w:hAnsi="Times New Roman" w:eastAsia="宋体" w:cs="Times New Roman"/>
              <w:b w:val="0"/>
              <w:bCs w:val="0"/>
              <w:szCs w:val="30"/>
              <w:lang w:val="en-US" w:eastAsia="en-US"/>
            </w:rPr>
            <w:t>专业（技能）课</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_Toc29445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6</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_Toc1891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七、教学进程总体安排</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_Toc1891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_Toc17256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zCs w:val="30"/>
            </w:rPr>
            <w:t>（一）</w:t>
          </w:r>
          <w:r>
            <w:rPr>
              <w:rFonts w:hint="default" w:ascii="Times New Roman" w:hAnsi="Times New Roman" w:eastAsia="宋体" w:cs="Times New Roman"/>
              <w:b w:val="0"/>
              <w:bCs w:val="0"/>
            </w:rPr>
            <w:t>课程设置表</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_Toc17256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_Toc16715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zCs w:val="30"/>
              <w:lang w:val="en-US" w:eastAsia="zh-CN"/>
            </w:rPr>
            <w:t>（二）</w:t>
          </w:r>
          <w:r>
            <w:rPr>
              <w:rFonts w:hint="default" w:ascii="Times New Roman" w:hAnsi="Times New Roman" w:eastAsia="宋体" w:cs="Times New Roman"/>
              <w:b w:val="0"/>
              <w:bCs w:val="0"/>
            </w:rPr>
            <w:t>教学实践安排</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_Toc16715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14</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_Toc30523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八、 实施保障</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_Toc30523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14</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_Toc13907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（一）师资队伍</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_Toc13907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14</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7"/>
            <w:tabs>
              <w:tab w:val="right" w:leader="dot" w:pos="8306"/>
            </w:tabs>
            <w:ind w:left="0" w:leftChars="0" w:firstLine="1000" w:firstLineChars="5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_Toc18244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zCs w:val="30"/>
            </w:rPr>
            <w:t>1.队伍结构</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_Toc18244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14</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600" w:firstLineChars="3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_Toc5877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2.专任教师</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_Toc5877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15</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600" w:firstLineChars="3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_Toc6343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3.兼职教师</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_Toc6343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15</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_Toc5967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（二）教学设施</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_Toc5967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16</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600" w:firstLineChars="3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_Toc10981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1.校内实训室</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_Toc10981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16</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600" w:firstLineChars="3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_Toc4969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zh-CN"/>
            </w:rPr>
            <w:t>2.</w:t>
          </w:r>
          <w:r>
            <w:rPr>
              <w:rFonts w:hint="default" w:ascii="Times New Roman" w:hAnsi="Times New Roman" w:eastAsia="宋体" w:cs="Times New Roman"/>
              <w:b w:val="0"/>
              <w:bCs w:val="0"/>
              <w:spacing w:val="-1"/>
              <w:lang w:val="en-US" w:eastAsia="en-US"/>
            </w:rPr>
            <w:t>校外实训实习基地</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_Toc4969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17</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_Toc31933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（三）教学资源</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_Toc31933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17</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7"/>
            <w:tabs>
              <w:tab w:val="right" w:leader="dot" w:pos="8306"/>
            </w:tabs>
            <w:ind w:left="0" w:leftChars="0" w:firstLine="1000" w:firstLineChars="5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_Toc22701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szCs w:val="28"/>
            </w:rPr>
            <w:t>1.教材选用及使用要求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_Toc22701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17</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600" w:firstLineChars="3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_Toc21360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2.图书资料配备要求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_Toc21360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18</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600" w:firstLineChars="3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_Toc11326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3. 数字资源配备要求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_Toc11326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18</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_Toc24422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rPr>
            <w:t>（四）教学方法</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_Toc24422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18</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_Toc30538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（五）学习评价</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_Toc30538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18</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_Toc845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（六）质量管理</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_Toc845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19</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_Toc21658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lang w:val="en-US" w:eastAsia="en-US"/>
            </w:rPr>
            <w:t>九、 毕业要求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_Toc21658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19</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_Toc26693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（一）可选考的证书</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_Toc26693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19</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_Toc30109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（二）学业达标要求</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_Toc30109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19</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_Toc21864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十、附录</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_Toc21864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19</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eastAsia="宋体"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_Toc4338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（一）附件1：专业教学进程安排表</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_Toc4338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19</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pPr>
            <w:pStyle w:val="16"/>
            <w:tabs>
              <w:tab w:val="right" w:leader="dot" w:pos="8306"/>
            </w:tabs>
            <w:ind w:firstLine="200" w:firstLineChars="100"/>
            <w:rPr>
              <w:rFonts w:hint="default" w:ascii="Times New Roman" w:hAnsi="Times New Roman" w:cs="Times New Roman"/>
              <w:b w:val="0"/>
              <w:bCs w:val="0"/>
            </w:rPr>
          </w:pP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HYPERLINK \l _Toc16643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spacing w:val="-1"/>
              <w:lang w:val="en-US" w:eastAsia="en-US"/>
            </w:rPr>
            <w:t>（</w:t>
          </w:r>
          <w:r>
            <w:rPr>
              <w:rFonts w:hint="default" w:ascii="Times New Roman" w:hAnsi="Times New Roman" w:eastAsia="宋体" w:cs="Times New Roman"/>
              <w:b w:val="0"/>
              <w:bCs w:val="0"/>
              <w:spacing w:val="-1"/>
              <w:lang w:val="en-US" w:eastAsia="zh-CN"/>
            </w:rPr>
            <w:t>二</w:t>
          </w:r>
          <w:r>
            <w:rPr>
              <w:rFonts w:hint="default" w:ascii="Times New Roman" w:hAnsi="Times New Roman" w:eastAsia="宋体" w:cs="Times New Roman"/>
              <w:b w:val="0"/>
              <w:bCs w:val="0"/>
              <w:spacing w:val="-1"/>
              <w:lang w:val="en-US" w:eastAsia="en-US"/>
            </w:rPr>
            <w:t>）</w:t>
          </w:r>
          <w:r>
            <w:rPr>
              <w:rFonts w:hint="default" w:ascii="Times New Roman" w:hAnsi="Times New Roman" w:eastAsia="宋体" w:cs="Times New Roman"/>
              <w:b w:val="0"/>
              <w:bCs w:val="0"/>
              <w:spacing w:val="-1"/>
            </w:rPr>
            <w:t>附件2：教学计划变更审批表</w:t>
          </w:r>
          <w:r>
            <w:rPr>
              <w:rFonts w:hint="default" w:ascii="Times New Roman" w:hAnsi="Times New Roman" w:eastAsia="宋体" w:cs="Times New Roman"/>
              <w:b w:val="0"/>
              <w:bCs w:val="0"/>
            </w:rPr>
            <w:tab/>
          </w:r>
          <w:r>
            <w:rPr>
              <w:rFonts w:hint="default" w:ascii="Times New Roman" w:hAnsi="Times New Roman" w:eastAsia="宋体" w:cs="Times New Roman"/>
              <w:b w:val="0"/>
              <w:bCs w:val="0"/>
            </w:rPr>
            <w:fldChar w:fldCharType="begin"/>
          </w:r>
          <w:r>
            <w:rPr>
              <w:rFonts w:hint="default" w:ascii="Times New Roman" w:hAnsi="Times New Roman" w:eastAsia="宋体" w:cs="Times New Roman"/>
              <w:b w:val="0"/>
              <w:bCs w:val="0"/>
            </w:rPr>
            <w:instrText xml:space="preserve"> PAGEREF _Toc16643 \h </w:instrText>
          </w:r>
          <w:r>
            <w:rPr>
              <w:rFonts w:hint="default" w:ascii="Times New Roman" w:hAnsi="Times New Roman" w:eastAsia="宋体" w:cs="Times New Roman"/>
              <w:b w:val="0"/>
              <w:bCs w:val="0"/>
            </w:rPr>
            <w:fldChar w:fldCharType="separate"/>
          </w:r>
          <w:r>
            <w:rPr>
              <w:rFonts w:hint="default" w:ascii="Times New Roman" w:hAnsi="Times New Roman" w:eastAsia="宋体" w:cs="Times New Roman"/>
              <w:b w:val="0"/>
              <w:bCs w:val="0"/>
            </w:rPr>
            <w:t>22</w:t>
          </w:r>
          <w:r>
            <w:rPr>
              <w:rFonts w:hint="default" w:ascii="Times New Roman" w:hAnsi="Times New Roman" w:eastAsia="宋体" w:cs="Times New Roman"/>
              <w:b w:val="0"/>
              <w:bCs w:val="0"/>
            </w:rPr>
            <w:fldChar w:fldCharType="end"/>
          </w:r>
          <w:r>
            <w:rPr>
              <w:rFonts w:hint="default" w:ascii="Times New Roman" w:hAnsi="Times New Roman" w:eastAsia="宋体" w:cs="Times New Roman"/>
              <w:b w:val="0"/>
              <w:bCs w:val="0"/>
            </w:rPr>
            <w:fldChar w:fldCharType="end"/>
          </w:r>
        </w:p>
        <w:p>
          <w:r>
            <w:rPr>
              <w:rFonts w:hint="default" w:ascii="Times New Roman" w:hAnsi="Times New Roman" w:cs="Times New Roman"/>
              <w:b w:val="0"/>
              <w:bCs w:val="0"/>
            </w:rPr>
            <w:fldChar w:fldCharType="end"/>
          </w:r>
        </w:p>
      </w:sdtContent>
    </w:sdt>
    <w:p>
      <w:pPr>
        <w:rPr>
          <w:rFonts w:hint="eastAsia"/>
        </w:rPr>
        <w:sectPr>
          <w:pgSz w:w="11906" w:h="16838"/>
          <w:pgMar w:top="1440" w:right="1800" w:bottom="1440" w:left="1800" w:header="851" w:footer="992" w:gutter="0"/>
          <w:cols w:space="425" w:num="1"/>
          <w:docGrid w:type="lines" w:linePitch="312" w:charSpace="0"/>
        </w:sectPr>
      </w:pPr>
    </w:p>
    <w:p>
      <w:pPr>
        <w:rPr>
          <w:rFonts w:hint="eastAsia"/>
        </w:rPr>
      </w:pPr>
    </w:p>
    <w:p>
      <w:pPr>
        <w:pStyle w:val="2"/>
        <w:spacing w:before="0" w:line="360" w:lineRule="auto"/>
        <w:ind w:right="0"/>
        <w:jc w:val="left"/>
        <w:outlineLvl w:val="0"/>
        <w:rPr>
          <w:rFonts w:hint="eastAsia"/>
        </w:rPr>
      </w:pPr>
      <w:bookmarkStart w:id="7" w:name="_Toc12915"/>
      <w:r>
        <w:rPr>
          <w:rFonts w:hint="eastAsia"/>
        </w:rPr>
        <w:t>一、专业名称及代码</w:t>
      </w:r>
      <w:bookmarkEnd w:id="2"/>
      <w:bookmarkEnd w:id="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电子商务（专业代码：730701）</w:t>
      </w:r>
    </w:p>
    <w:p>
      <w:pPr>
        <w:pStyle w:val="2"/>
        <w:spacing w:before="0" w:line="360" w:lineRule="auto"/>
        <w:ind w:right="0"/>
        <w:jc w:val="left"/>
        <w:outlineLvl w:val="0"/>
        <w:rPr>
          <w:rFonts w:hint="eastAsia"/>
        </w:rPr>
      </w:pPr>
      <w:bookmarkStart w:id="8" w:name="二、入学要求"/>
      <w:bookmarkEnd w:id="8"/>
      <w:bookmarkStart w:id="9" w:name="_Toc13369"/>
      <w:bookmarkStart w:id="10" w:name="_Toc28699"/>
      <w:r>
        <w:rPr>
          <w:rFonts w:hint="eastAsia"/>
        </w:rPr>
        <w:t>二、入学要求</w:t>
      </w:r>
      <w:bookmarkEnd w:id="9"/>
      <w:bookmarkEnd w:id="1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初中毕业生或具有同等学历者</w:t>
      </w:r>
    </w:p>
    <w:p>
      <w:pPr>
        <w:pStyle w:val="2"/>
        <w:spacing w:before="0" w:line="360" w:lineRule="auto"/>
        <w:ind w:right="0"/>
        <w:jc w:val="left"/>
        <w:outlineLvl w:val="0"/>
        <w:rPr>
          <w:rFonts w:hint="eastAsia"/>
        </w:rPr>
      </w:pPr>
      <w:bookmarkStart w:id="11" w:name="三、修业年限"/>
      <w:bookmarkEnd w:id="11"/>
      <w:bookmarkStart w:id="12" w:name="_Toc19778"/>
      <w:bookmarkStart w:id="13" w:name="_Toc7201"/>
      <w:r>
        <w:rPr>
          <w:rFonts w:hint="eastAsia"/>
        </w:rPr>
        <w:t>三、修业年限</w:t>
      </w:r>
      <w:bookmarkEnd w:id="12"/>
      <w:bookmarkEnd w:id="13"/>
    </w:p>
    <w:p>
      <w:pPr>
        <w:spacing w:line="360" w:lineRule="auto"/>
        <w:ind w:firstLine="480" w:firstLineChars="200"/>
        <w:rPr>
          <w:rFonts w:hint="eastAsia" w:ascii="宋体" w:hAnsi="宋体" w:eastAsia="宋体" w:cs="宋体"/>
          <w:sz w:val="24"/>
          <w:szCs w:val="24"/>
          <w:lang w:val="en-US" w:eastAsia="zh-CN"/>
        </w:rPr>
      </w:pPr>
      <w:bookmarkStart w:id="14" w:name="_Toc6306"/>
      <w:r>
        <w:rPr>
          <w:rFonts w:hint="eastAsia" w:ascii="宋体" w:hAnsi="宋体" w:eastAsia="宋体" w:cs="宋体"/>
          <w:sz w:val="24"/>
          <w:szCs w:val="24"/>
        </w:rPr>
        <w:t>3 年</w:t>
      </w:r>
      <w:bookmarkEnd w:id="14"/>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我校采用“2.5+0.5 ”学制，即两年半在学校学习文化课和专业课，最后半年在合作企业进行顶岗实习。</w:t>
      </w:r>
    </w:p>
    <w:p>
      <w:pPr>
        <w:pStyle w:val="2"/>
        <w:spacing w:before="0" w:line="360" w:lineRule="auto"/>
        <w:ind w:right="0"/>
        <w:jc w:val="left"/>
        <w:outlineLvl w:val="0"/>
        <w:rPr>
          <w:rFonts w:hint="eastAsia"/>
        </w:rPr>
      </w:pPr>
      <w:bookmarkStart w:id="15" w:name="四、职业面向"/>
      <w:bookmarkEnd w:id="15"/>
      <w:bookmarkStart w:id="16" w:name="_Toc32342"/>
      <w:bookmarkStart w:id="17" w:name="_Toc23244"/>
      <w:r>
        <w:rPr>
          <w:rFonts w:hint="eastAsia"/>
        </w:rPr>
        <w:t>四、职业面向</w:t>
      </w:r>
      <w:bookmarkEnd w:id="16"/>
      <w:bookmarkEnd w:id="17"/>
    </w:p>
    <w:p>
      <w:pPr>
        <w:spacing w:line="360" w:lineRule="auto"/>
        <w:ind w:firstLine="480" w:firstLineChars="200"/>
      </w:pPr>
      <w:bookmarkStart w:id="18" w:name="_Toc25792"/>
      <w:r>
        <w:rPr>
          <w:rFonts w:hint="eastAsia" w:ascii="宋体" w:hAnsi="宋体" w:eastAsia="宋体" w:cs="宋体"/>
          <w:sz w:val="24"/>
          <w:szCs w:val="24"/>
          <w:lang w:val="en-US" w:eastAsia="en-US"/>
        </w:rPr>
        <w:t>本专业属财经商贸大类的电子商务类（7307）</w:t>
      </w:r>
      <w:r>
        <w:rPr>
          <w:rFonts w:hint="eastAsia" w:ascii="宋体" w:hAnsi="宋体" w:eastAsia="宋体" w:cs="宋体"/>
          <w:sz w:val="24"/>
          <w:szCs w:val="24"/>
          <w:lang w:val="en-US" w:eastAsia="zh-CN"/>
        </w:rPr>
        <w:t>，</w:t>
      </w:r>
      <w:r>
        <w:rPr>
          <w:rFonts w:hint="eastAsia" w:ascii="宋体" w:hAnsi="宋体" w:eastAsia="宋体" w:cs="宋体"/>
          <w:sz w:val="24"/>
          <w:szCs w:val="24"/>
        </w:rPr>
        <w:t>具体情况如下：</w:t>
      </w:r>
      <w:bookmarkEnd w:id="18"/>
    </w:p>
    <w:tbl>
      <w:tblPr>
        <w:tblStyle w:val="8"/>
        <w:tblW w:w="9889" w:type="dxa"/>
        <w:jc w:val="center"/>
        <w:tblLayout w:type="fixed"/>
        <w:tblCellMar>
          <w:top w:w="0" w:type="dxa"/>
          <w:left w:w="0" w:type="dxa"/>
          <w:bottom w:w="0" w:type="dxa"/>
          <w:right w:w="0" w:type="dxa"/>
        </w:tblCellMar>
      </w:tblPr>
      <w:tblGrid>
        <w:gridCol w:w="1677"/>
        <w:gridCol w:w="1215"/>
        <w:gridCol w:w="1903"/>
        <w:gridCol w:w="1676"/>
        <w:gridCol w:w="3418"/>
      </w:tblGrid>
      <w:tr>
        <w:tblPrEx>
          <w:tblCellMar>
            <w:top w:w="0" w:type="dxa"/>
            <w:left w:w="0" w:type="dxa"/>
            <w:bottom w:w="0" w:type="dxa"/>
            <w:right w:w="0" w:type="dxa"/>
          </w:tblCellMar>
        </w:tblPrEx>
        <w:trPr>
          <w:trHeight w:val="983" w:hRule="exact"/>
          <w:jc w:val="center"/>
        </w:trPr>
        <w:tc>
          <w:tcPr>
            <w:tcW w:w="1677"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所属专业大类及代码</w:t>
            </w:r>
          </w:p>
        </w:tc>
        <w:tc>
          <w:tcPr>
            <w:tcW w:w="1215"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对应行业</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（代码）</w:t>
            </w:r>
          </w:p>
        </w:tc>
        <w:tc>
          <w:tcPr>
            <w:tcW w:w="1903"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主要职业类别</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（代码）</w:t>
            </w:r>
          </w:p>
        </w:tc>
        <w:tc>
          <w:tcPr>
            <w:tcW w:w="1676"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主要岗位类别 </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或技术领域</w:t>
            </w:r>
          </w:p>
        </w:tc>
        <w:tc>
          <w:tcPr>
            <w:tcW w:w="341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职业技能等证书、 行业企业证书举例</w:t>
            </w:r>
          </w:p>
        </w:tc>
      </w:tr>
      <w:tr>
        <w:tblPrEx>
          <w:tblCellMar>
            <w:top w:w="0" w:type="dxa"/>
            <w:left w:w="0" w:type="dxa"/>
            <w:bottom w:w="0" w:type="dxa"/>
            <w:right w:w="0" w:type="dxa"/>
          </w:tblCellMar>
        </w:tblPrEx>
        <w:trPr>
          <w:trHeight w:val="2823" w:hRule="exact"/>
          <w:jc w:val="center"/>
        </w:trPr>
        <w:tc>
          <w:tcPr>
            <w:tcW w:w="167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财经商贸大类</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（73）</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电子商务类</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（730701）</w:t>
            </w:r>
          </w:p>
        </w:tc>
        <w:tc>
          <w:tcPr>
            <w:tcW w:w="121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互联网和相 关服务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（64）</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批发业</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（51） </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零售业</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（52）</w:t>
            </w: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电子商务师</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（4-01-02-02）</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互联网营销师</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（4-01-02-07）</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市场营销专业人员</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（2-06-07-02）</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营销员</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（4-01-02-01）</w:t>
            </w:r>
          </w:p>
        </w:tc>
        <w:tc>
          <w:tcPr>
            <w:tcW w:w="167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网店运营推广 </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 xml:space="preserve">新媒体营销 </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直播销售员</w:t>
            </w:r>
          </w:p>
        </w:tc>
        <w:tc>
          <w:tcPr>
            <w:tcW w:w="341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ascii="宋体" w:hAnsi="宋体" w:eastAsia="宋体" w:cs="宋体"/>
                <w:sz w:val="21"/>
                <w:szCs w:val="21"/>
              </w:rPr>
            </w:pP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网店运营推广（初级）1+X 证书</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直播电商（初级）1+X 证书</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电子商务数据分析（初级）1+X 证书</w:t>
            </w:r>
          </w:p>
        </w:tc>
      </w:tr>
    </w:tbl>
    <w:p>
      <w:pPr>
        <w:spacing w:line="360" w:lineRule="auto"/>
        <w:rPr>
          <w:rFonts w:hint="eastAsia" w:ascii="宋体" w:hAnsi="宋体" w:eastAsia="宋体" w:cs="宋体"/>
          <w:b/>
          <w:bCs/>
          <w:sz w:val="24"/>
          <w:szCs w:val="24"/>
        </w:rPr>
      </w:pPr>
      <w:bookmarkStart w:id="19" w:name="接续专业："/>
      <w:bookmarkEnd w:id="19"/>
      <w:r>
        <w:rPr>
          <w:rFonts w:hint="eastAsia" w:ascii="宋体" w:hAnsi="宋体" w:eastAsia="宋体" w:cs="宋体"/>
          <w:b/>
          <w:bCs/>
          <w:sz w:val="24"/>
          <w:szCs w:val="24"/>
        </w:rPr>
        <w:t>接续专业：</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接续高职专科专业：</w:t>
      </w:r>
      <w:r>
        <w:rPr>
          <w:rFonts w:hint="eastAsia" w:ascii="宋体" w:hAnsi="宋体" w:eastAsia="宋体" w:cs="宋体"/>
          <w:sz w:val="24"/>
          <w:szCs w:val="24"/>
        </w:rPr>
        <w:t>电子商务、网络营销与直播电商、移动商务、农村 电子商务、商务数据分析与应用、跨境电子商务</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接续高职本科专业：</w:t>
      </w:r>
      <w:r>
        <w:rPr>
          <w:rFonts w:hint="eastAsia" w:ascii="宋体" w:hAnsi="宋体" w:eastAsia="宋体" w:cs="宋体"/>
          <w:sz w:val="24"/>
          <w:szCs w:val="24"/>
        </w:rPr>
        <w:t>电子商务、跨境电子商务、全媒体电商运营</w:t>
      </w:r>
    </w:p>
    <w:p>
      <w:pPr>
        <w:pStyle w:val="2"/>
        <w:spacing w:before="0" w:line="360" w:lineRule="auto"/>
        <w:ind w:right="0"/>
        <w:jc w:val="left"/>
        <w:outlineLvl w:val="0"/>
        <w:rPr>
          <w:rFonts w:hint="eastAsia"/>
        </w:rPr>
      </w:pPr>
      <w:bookmarkStart w:id="20" w:name="_Toc19758"/>
      <w:bookmarkStart w:id="21" w:name="_Toc12127"/>
      <w:r>
        <w:rPr>
          <w:rFonts w:hint="eastAsia"/>
        </w:rPr>
        <w:t>五、培养目标与培养规格</w:t>
      </w:r>
      <w:bookmarkEnd w:id="20"/>
      <w:bookmarkEnd w:id="21"/>
    </w:p>
    <w:p>
      <w:pPr>
        <w:spacing w:before="164" w:line="360" w:lineRule="auto"/>
        <w:ind w:left="440" w:leftChars="0" w:right="0" w:firstLine="0" w:firstLineChars="0"/>
        <w:jc w:val="left"/>
        <w:outlineLvl w:val="1"/>
        <w:rPr>
          <w:rFonts w:hint="eastAsia" w:ascii="黑体" w:hAnsi="黑体" w:eastAsia="黑体" w:cs="黑体"/>
          <w:b/>
          <w:bCs/>
          <w:spacing w:val="-1"/>
          <w:sz w:val="28"/>
          <w:szCs w:val="28"/>
        </w:rPr>
      </w:pPr>
      <w:bookmarkStart w:id="22" w:name="_Toc30257"/>
      <w:r>
        <w:rPr>
          <w:rFonts w:hint="eastAsia" w:ascii="黑体" w:hAnsi="黑体" w:eastAsia="黑体" w:cs="黑体"/>
          <w:b/>
          <w:bCs/>
          <w:spacing w:val="-1"/>
          <w:sz w:val="28"/>
          <w:szCs w:val="28"/>
        </w:rPr>
        <w:t>（一）培养目标</w:t>
      </w:r>
      <w:bookmarkEnd w:id="22"/>
    </w:p>
    <w:p>
      <w:pPr>
        <w:spacing w:line="360" w:lineRule="auto"/>
        <w:ind w:left="0" w:leftChars="0" w:firstLine="439" w:firstLineChars="183"/>
        <w:rPr>
          <w:rFonts w:hint="eastAsia" w:ascii="宋体" w:hAnsi="宋体" w:eastAsia="宋体" w:cs="宋体"/>
          <w:sz w:val="24"/>
          <w:szCs w:val="24"/>
        </w:rPr>
      </w:pPr>
      <w:r>
        <w:rPr>
          <w:rFonts w:hint="eastAsia" w:ascii="宋体" w:hAnsi="宋体" w:eastAsia="宋体" w:cs="宋体"/>
          <w:sz w:val="24"/>
          <w:szCs w:val="24"/>
        </w:rPr>
        <w:t>以习近平新时代中国特色社会主义思想为指导，全面贯彻党的教育方针，坚持和加强党的全面领导，坚持社会主义办学方向，落实立德树人根本任务，培养理想信念坚定、德技并修、全面发展，具有诚信守法、协作创新、开放包容等素质，掌握扎实的科学文化基础和电子商务基础、营销基础、商品零售、数据采集与分析等知识，具备商品拍摄与素材编辑、店铺和账户日常维护、运营数据采集、营销推广执行、直播销售、视觉设计制作、客户咨询服务等能力，具有工匠精神和信息素养，能够从事店铺运营辅助、新媒体运营辅助、网络推广、新媒体营销执行、直播销售、直播辅助、视觉 设计、客户服务等工作的技术技能人才。</w:t>
      </w:r>
    </w:p>
    <w:p>
      <w:pPr>
        <w:spacing w:before="164" w:line="360" w:lineRule="auto"/>
        <w:ind w:left="440" w:leftChars="0" w:right="0" w:firstLine="0" w:firstLineChars="0"/>
        <w:jc w:val="left"/>
        <w:outlineLvl w:val="1"/>
        <w:rPr>
          <w:rFonts w:hint="eastAsia" w:ascii="黑体" w:hAnsi="黑体" w:eastAsia="黑体" w:cs="黑体"/>
          <w:b/>
          <w:bCs/>
          <w:spacing w:val="-1"/>
          <w:sz w:val="28"/>
          <w:szCs w:val="28"/>
        </w:rPr>
      </w:pPr>
      <w:bookmarkStart w:id="23" w:name="_Toc18208"/>
      <w:r>
        <w:rPr>
          <w:rFonts w:hint="eastAsia" w:ascii="黑体" w:hAnsi="黑体" w:eastAsia="黑体" w:cs="黑体"/>
          <w:b/>
          <w:bCs/>
          <w:spacing w:val="-1"/>
          <w:sz w:val="28"/>
          <w:szCs w:val="28"/>
        </w:rPr>
        <w:t>（二）培养规格</w:t>
      </w:r>
      <w:bookmarkEnd w:id="2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本专业学生应在系统学习本专业知识并完成有关实习实训基础上，全面 提升素质、知识、能力，掌握并实际运用岗位（群）需要的专业技术技能， 总体上须达到以下要求：</w:t>
      </w:r>
    </w:p>
    <w:p>
      <w:pPr>
        <w:spacing w:before="164" w:line="360" w:lineRule="auto"/>
        <w:ind w:left="440" w:leftChars="0" w:right="0" w:firstLine="0" w:firstLineChars="0"/>
        <w:jc w:val="left"/>
        <w:outlineLvl w:val="2"/>
        <w:rPr>
          <w:rFonts w:hint="eastAsia" w:ascii="黑体" w:hAnsi="黑体" w:eastAsia="黑体" w:cs="黑体"/>
          <w:b/>
          <w:bCs/>
          <w:spacing w:val="-1"/>
          <w:sz w:val="28"/>
          <w:szCs w:val="28"/>
        </w:rPr>
      </w:pPr>
      <w:bookmarkStart w:id="24" w:name="_Toc19232"/>
      <w:r>
        <w:rPr>
          <w:rFonts w:hint="eastAsia" w:ascii="黑体" w:hAnsi="黑体" w:eastAsia="黑体" w:cs="黑体"/>
          <w:b/>
          <w:bCs/>
          <w:spacing w:val="-1"/>
          <w:sz w:val="28"/>
          <w:szCs w:val="28"/>
        </w:rPr>
        <w:t>1.知识目标</w:t>
      </w:r>
      <w:bookmarkEnd w:id="24"/>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（1）掌握电子商务基础、市场营销、商品知识、网络广告制作、客户关系管理、沟通技巧、商业礼仪等方面的专业基础知识；</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（2）掌握主流电商平台规则和常用工具使用方法，能进行店铺开设、账号 维护、商品编辑发布与优化、采集整理运营数据、活动执行、辅助运营；</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（3）掌握直播常用工具的使用，能根据直播运营要求和销售目标，完成商品定位、直播创建、脚本编写、直播执行、流量维护、直播优化；</w:t>
      </w:r>
    </w:p>
    <w:p>
      <w:pPr>
        <w:spacing w:before="164" w:line="360" w:lineRule="auto"/>
        <w:ind w:left="440" w:leftChars="0" w:right="0" w:firstLine="0" w:firstLineChars="0"/>
        <w:jc w:val="left"/>
        <w:outlineLvl w:val="2"/>
        <w:rPr>
          <w:rFonts w:hint="eastAsia" w:ascii="黑体" w:hAnsi="黑体" w:eastAsia="黑体" w:cs="黑体"/>
          <w:b/>
          <w:bCs/>
          <w:spacing w:val="-1"/>
          <w:sz w:val="28"/>
          <w:szCs w:val="28"/>
        </w:rPr>
      </w:pPr>
      <w:bookmarkStart w:id="25" w:name="_Toc2734"/>
      <w:r>
        <w:rPr>
          <w:rFonts w:hint="eastAsia" w:ascii="黑体" w:hAnsi="黑体" w:eastAsia="黑体" w:cs="黑体"/>
          <w:b/>
          <w:bCs/>
          <w:spacing w:val="-1"/>
          <w:sz w:val="28"/>
          <w:szCs w:val="28"/>
        </w:rPr>
        <w:t>2.能力目标</w:t>
      </w:r>
      <w:bookmarkEnd w:id="25"/>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（1）具有平台站内外营销推广的能力，能进行营销内容制作与发布、社群营销、媒介营销辅助，媒体和工具推广、网络广告投放；</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（2）具备视觉营销设计的能力，能进行图片处理、海报设计制作、主图制 作、页面设计、短视频制作；</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（3）具备客户服务的能力，能根据客服规范，完成客户咨询回复、异 常订单处理、售后纠纷处理、客户维护和评价。</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（4）具有适应零售新业态需求的基本数字技能，掌握信息技术、办公 软件应用基础知识，能进行数据采集、数据可视化处理、图形图像处理；</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（5）具有终身学习和可持续发展能力，具备一定的批判性思维和创新精神， 具有一定的分析问题和解决问题的能力,具有基本的欣赏美和创造美的能力;</w:t>
      </w:r>
    </w:p>
    <w:p>
      <w:pPr>
        <w:spacing w:before="164" w:line="360" w:lineRule="auto"/>
        <w:ind w:left="440" w:leftChars="0" w:right="0" w:firstLine="0" w:firstLineChars="0"/>
        <w:jc w:val="left"/>
        <w:outlineLvl w:val="2"/>
        <w:rPr>
          <w:rFonts w:hint="eastAsia" w:ascii="黑体" w:hAnsi="黑体" w:eastAsia="黑体" w:cs="黑体"/>
          <w:b/>
          <w:bCs/>
          <w:spacing w:val="-1"/>
          <w:sz w:val="28"/>
          <w:szCs w:val="28"/>
        </w:rPr>
      </w:pPr>
      <w:bookmarkStart w:id="26" w:name="_Toc6537"/>
      <w:r>
        <w:rPr>
          <w:rFonts w:hint="eastAsia" w:ascii="黑体" w:hAnsi="黑体" w:eastAsia="黑体" w:cs="黑体"/>
          <w:b/>
          <w:bCs/>
          <w:spacing w:val="-1"/>
          <w:sz w:val="28"/>
          <w:szCs w:val="28"/>
        </w:rPr>
        <w:t>3.素养目标</w:t>
      </w:r>
      <w:bookmarkEnd w:id="26"/>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（1）坚定拥护中国共产党领导和中国特色社会主义制度，以习近平新时代中国特色社会主义思想为指导，践行社会主义核心价值观，具有坚定的 理想信念深厚的爱国情感和中华民族自豪感；</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（2）能够熟练掌握与本专业从事职业活动相关的电子商务法律法规、 互联网交易安全、质量管理等相关知识与技能，了解电子商务、服务、零售 相关产业文化，遵守职业道德准则和行为规范，诚信经营，具备社会责任感 和担当精神；</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（3）掌握支撑本专业学习和可持续发展必备的思想政治、语文、历史、 数学等文化基础知识，具有良好的科学与人文素养，具备职业生涯规划能力；</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（4）具有良好的语言表达能力、文字表达能力、沟通合作能力，具有较强的集体意识和团队合作意识；</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（5）弘扬劳动光荣、技能宝贵、创造伟大的时代精神，热爱劳动人民、珍惜劳动成果、树立劳动观念、积极投身劳动，具备与本专业职业发展相适应的劳动素养、劳动技能；</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（6）学会基于互联网的自主探究学习，培养团队合作精神及创新创业意识；</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（7）掌握必备的美育知识，具有一定的文化修养、审美能力，形成至少1项艺术特长或爱好；</w:t>
      </w:r>
    </w:p>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（8）达到《国家学生体质健康标准》，养成良好的健身与卫生习惯；具有 健康的体魄、积极的心态、良好的人际关系和健全的人格；具有环境适应能力，具有较强的 抗挫和抗压能力，能够进行情绪管理。</w:t>
      </w:r>
    </w:p>
    <w:p>
      <w:pPr>
        <w:pStyle w:val="2"/>
        <w:spacing w:before="0" w:line="360" w:lineRule="auto"/>
        <w:ind w:right="0"/>
        <w:jc w:val="left"/>
        <w:outlineLvl w:val="0"/>
        <w:rPr>
          <w:rFonts w:hint="eastAsia"/>
        </w:rPr>
      </w:pPr>
      <w:bookmarkStart w:id="27" w:name="_Toc13272"/>
      <w:bookmarkStart w:id="28" w:name="_Toc9332"/>
      <w:r>
        <w:rPr>
          <w:rFonts w:hint="eastAsia"/>
        </w:rPr>
        <w:t>六、课程设置及要求</w:t>
      </w:r>
      <w:bookmarkEnd w:id="27"/>
      <w:bookmarkEnd w:id="28"/>
    </w:p>
    <w:p>
      <w:pPr>
        <w:pStyle w:val="2"/>
        <w:spacing w:before="0" w:line="360" w:lineRule="auto"/>
        <w:ind w:right="0" w:firstLine="480" w:firstLineChars="200"/>
        <w:jc w:val="left"/>
        <w:outlineLvl w:val="0"/>
        <w:rPr>
          <w:rFonts w:hint="eastAsia" w:ascii="宋体" w:hAnsi="宋体" w:eastAsia="宋体" w:cs="宋体"/>
          <w:b w:val="0"/>
          <w:bCs w:val="0"/>
          <w:sz w:val="24"/>
          <w:szCs w:val="24"/>
          <w:lang w:val="en-US" w:eastAsia="en-US" w:bidi="ar-SA"/>
        </w:rPr>
      </w:pPr>
      <w:bookmarkStart w:id="29" w:name="_Toc16888"/>
      <w:r>
        <w:rPr>
          <w:rFonts w:hint="eastAsia" w:ascii="宋体" w:hAnsi="宋体" w:eastAsia="宋体" w:cs="宋体"/>
          <w:b w:val="0"/>
          <w:bCs w:val="0"/>
          <w:sz w:val="24"/>
          <w:szCs w:val="24"/>
          <w:lang w:val="en-US" w:eastAsia="en-US" w:bidi="ar-SA"/>
        </w:rPr>
        <w:t>本专业课程设置分为公共基础课和专业（技能）课。公共基础课包括思想政治、语文、数学、英语、体育与健康</w:t>
      </w:r>
      <w:r>
        <w:rPr>
          <w:rFonts w:hint="eastAsia"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en-US" w:bidi="ar-SA"/>
        </w:rPr>
        <w:t>历史</w:t>
      </w:r>
      <w:r>
        <w:rPr>
          <w:rFonts w:hint="eastAsia"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en-US" w:bidi="ar-SA"/>
        </w:rPr>
        <w:t>艺术（音乐或美术）</w:t>
      </w:r>
      <w:r>
        <w:rPr>
          <w:rFonts w:hint="eastAsia"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en-US" w:bidi="ar-SA"/>
        </w:rPr>
        <w:t>以及其他自然科学和人文科学类基础课。专业(技能)课包括专业基础课、专业核心课、专业方向课和专业选修课，实习实训是专业技能课教学的重要内容，含校内外实训、教学实习等多种形式。</w:t>
      </w:r>
      <w:bookmarkEnd w:id="29"/>
    </w:p>
    <w:p>
      <w:pPr>
        <w:spacing w:before="27"/>
        <w:ind w:left="400" w:right="0" w:firstLine="0"/>
        <w:jc w:val="left"/>
        <w:outlineLvl w:val="1"/>
        <w:rPr>
          <w:rFonts w:ascii="黑体" w:hAnsi="黑体" w:eastAsia="黑体" w:cs="黑体"/>
          <w:sz w:val="30"/>
          <w:szCs w:val="30"/>
        </w:rPr>
      </w:pPr>
      <w:bookmarkStart w:id="30" w:name="_Toc11104"/>
      <w:bookmarkStart w:id="31" w:name="_Toc95"/>
      <w:r>
        <w:rPr>
          <w:rFonts w:ascii="黑体" w:hAnsi="黑体" w:eastAsia="黑体" w:cs="黑体"/>
          <w:b/>
          <w:bCs/>
          <w:sz w:val="30"/>
          <w:szCs w:val="30"/>
        </w:rPr>
        <w:t>（一）公共基础课</w:t>
      </w:r>
      <w:bookmarkEnd w:id="30"/>
      <w:bookmarkEnd w:id="31"/>
    </w:p>
    <w:tbl>
      <w:tblPr>
        <w:tblStyle w:val="8"/>
        <w:tblW w:w="95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8"/>
        <w:gridCol w:w="1312"/>
        <w:gridCol w:w="5389"/>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blHeader/>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12"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5389"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课程目标、主要内容与教学要求</w:t>
            </w:r>
          </w:p>
        </w:tc>
        <w:tc>
          <w:tcPr>
            <w:tcW w:w="1787"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职业道德与法治</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本课程通过对职业生涯规划、职业道德与法治、经济政治与社会、哲学与人 生四个模块内容的学习，指导学生制定出符合实际的职业生涯规划书，树立正确 的职业理想和职业观、择业观、创业观以及成才观；养成职业道德行为习惯，指 导学生掌握法律常识，树立法治观念，增强法律意识；掌握马克思主义的相关基 本观点和我国社会主义经济建设、政治建设、文化建设、社会建设的有关知识； 提高辨析社会现象、主动参与社会生活的能力；使学生了解马克思主义哲学中与 人生发展关系密切的基础知识，提高学生用马克思主义哲学的基本观点、方法分 析和解决人生发展重要问题的能力，引导学生进行正确的价值判断和行为选择， 形成积极向上的人生态度，为人生的健康发展奠定思想基础。</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中国特色社会主义</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依据《中等职业学校思想政治课程标准》（2020 版）开设。本课程阐明马克思主义哲学是 科学的世界观和方法论，讲述辩证唯物主义和历 史唯物主义基本观点及其对人生成长的意义；阐 述社会生活及个人成长中进行正确价值判断和行 为选择的意义。通过本部分内容的学习，学生能 够了解马克思主义哲学基本原理，运用辩证唯物 主义和历史唯物主义观点认识世界，坚持实践第 一的观点，一切从实际出发、实事求是，学会用 具体问题具体分析等方法，正确认识社会问题， 分析和处理个人成长中的人生问题，在生活中做出正确的价值判断和行为选择，自觉弘扬和践行社会主义核心价值观，为形成正确的世界观、人生观和价值观奠定基础。</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语文</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本课程在初中语文的基础上，着力于语文基本的字、词、句、篇的理解，进一步巩固和扩展学生必需的语文基础知识；进一步学习提高现代文阅读和写作能 力，提高以听说为主的口语交际和专业实用、应用文体的书写能力；培养发现问题、解决问题的能力，为提高学生综合职业能力和适应职业变化的能力奠定基 础。在教学过程中，引导学生接受优秀文化的熏陶，培养高尚的审美情趣，树立 爱国主义、集体主义，发展个性特长，形成健全人格。</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数学</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本课程在初中数学的基础上，使学生进一步巩固和扩展必需的数学基础知识，养成自学和运用数学的良好习惯，为学习专业知识、掌握职业技能、继续 学习和终身发展奠定基础，提高学生就业能力与创业能力。提高学生的计算技 能、计算工具使用技能和数据处理技能，培养学生的观察能力、空间想象能力 和简单实际应用能力。</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英语</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中等职业学校英语课程的目标是全面贯彻党的教育方针，落实立德树人根本任务，在义务教育的基础上，进一步激发学生英语学习的兴趣，帮助学生掌 握基础知识和基本技能，发展英语学科核心素养，为学生的职业生涯、继续学 习和终身发展奠定基础。在日常英语的基础上，围绕职场相关主题，能运用所 学 语言知识，理解不同类型语篇所传递的意义和情感；能以口头或书面形式进 行基本的沟通；能在职场中综合运用语言知识和技能进行交流。能理解英语在表达方式上体现出的中西思维差异；能 理解英语在逻辑论证上体现出的中西思维差异；在了解中西思维差异的基础 上，能客观对待不同观点，做出正确价值判断。能树立正确的英语学习观，具有明确的学习目标；能多渠 道获取英语学习资源；能有效规划个人的学习，选择恰当的学习策略和方法； 能监控、评价、反思和调整自己的学习内容和进程，提高学习效率。</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体育与健康</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传授体育与健康的基本文化知识、体育技能和方法，通过科学指导和安排体育锻炼过程，全面提高学生身体素质，发展身体基本活动能力，增进学生身心健康，培养学生未来职业所必需的体能和社会适应能力。使学生掌握必要的体育与卫生保健基础知识和运动技能，增强体育锻炼与保健意识，了解一定的科学锻炼和娱乐休闲方法；注重学生个性与体育特长的发展，学会欣赏一至两项体育项目竞赛，提高自主锻炼、自我保健、自我评价和自我调控的能力，养成终身从事体育锻炼的意识与习惯，为继续学习与创业立业奠定基础。并且通过体育教学， 提高生活质量，为全面促进学生身体健康、心理健康和社会适应能力服务。进行爱国主义、集体主义和职业道德与行为规范教育，提高学生社会责任感。</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公共艺术</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本课程是中等职业学校学生必修的一门公共课程，其任务是陶冶学生的艺术情操，培养学生具备基本的艺术素养，使学生具备一定的艺术鉴赏能力和网 页审美能力。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历史</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本课程的任务是在义务教育历史课程的基础上，以唯物史观为指导，促进 中等职业学校学生进一步了解人类社会形态从低级到高级发展的基本 脉络、基 本规律和优秀文化成果；从历史的角度了解和思考人与人、人与社会、人与自然 的关系，增强历史使命感和社会责任感；进一步弘扬以爱国主义为核心的民族精 神和以改革创新为核心的时代精神，培育和践行社会主义核心价值观；树立正确 的历史观、民族观、国家观和文化观；塑造健全的人格，养成职业精神，培养德 智体美劳全面发展的社会主义建设者和接班人。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商业礼仪</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本课程使学生掌握形体礼仪训练的基本知识、基本技术、基本能力，从而提高学生对形体美的鉴赏力、表现力和创造力，将形体语言较好地运用于实际 工作中。注重理论教学与实践教学相结合，提高学生的礼貌修养，培养学生的 实际操作能力和自律精神，为今后从业管理工作塑造良好形象，提高服务艺 术，奠定坚实的基础。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3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lang w:val="en-US" w:eastAsia="zh-CN" w:bidi="ar"/>
              </w:rPr>
              <w:t>信息技术</w:t>
            </w:r>
          </w:p>
        </w:tc>
        <w:tc>
          <w:tcPr>
            <w:tcW w:w="5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2"/>
                <w:lang w:val="en-US" w:eastAsia="zh-CN" w:bidi="ar"/>
              </w:rPr>
              <w:t>本课程依据《中等职业学校计算机应用基础教学大纲》开设，并注重在职业模块的教学内容中体现专业特色。本课程学习计算机的基础知识、常用操作 系统、汉字输入、常用办公软件、常用多媒体技术、计算机网络的基本应用、 计算机安全及日常维护等技能。使学生掌握计算机基础知识，掌握 Windows 操 作系统的基本操作及常用多媒体技术，会计算机网络的简单应用及计算机的日常维护，熟练掌握五笔字型等汉字输入技能及常用办公软件的使用。培养学习 计算机知识和技能的兴趣，培养正确使用计算机的能力，树立良好的计算机安 全意识，为以后的学习和工作打下基础。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r>
    </w:tbl>
    <w:p>
      <w:pPr>
        <w:pStyle w:val="2"/>
        <w:spacing w:before="0" w:line="360" w:lineRule="auto"/>
        <w:ind w:right="0"/>
        <w:jc w:val="left"/>
        <w:outlineLvl w:val="9"/>
        <w:rPr>
          <w:rFonts w:hint="eastAsia"/>
        </w:rPr>
      </w:pPr>
    </w:p>
    <w:p>
      <w:pPr>
        <w:spacing w:before="27"/>
        <w:ind w:left="400" w:right="0" w:firstLine="0"/>
        <w:jc w:val="left"/>
        <w:outlineLvl w:val="1"/>
        <w:rPr>
          <w:rFonts w:hint="eastAsia" w:ascii="黑体" w:hAnsi="黑体" w:eastAsia="黑体" w:cs="黑体"/>
          <w:b/>
          <w:bCs/>
          <w:sz w:val="30"/>
          <w:szCs w:val="30"/>
          <w:lang w:val="en-US" w:eastAsia="zh-CN"/>
        </w:rPr>
      </w:pPr>
      <w:bookmarkStart w:id="32" w:name="_Toc29445"/>
      <w:r>
        <w:rPr>
          <w:rFonts w:hint="eastAsia" w:ascii="黑体" w:hAnsi="黑体" w:eastAsia="黑体" w:cs="黑体"/>
          <w:b/>
          <w:bCs/>
          <w:sz w:val="30"/>
          <w:szCs w:val="30"/>
          <w:lang w:val="en-US" w:eastAsia="zh-CN"/>
        </w:rPr>
        <w:t>（二）</w:t>
      </w:r>
      <w:r>
        <w:rPr>
          <w:rFonts w:hint="eastAsia" w:ascii="黑体" w:hAnsi="黑体" w:eastAsia="黑体" w:cs="黑体"/>
          <w:b/>
          <w:bCs/>
          <w:sz w:val="30"/>
          <w:szCs w:val="30"/>
          <w:lang w:val="en-US" w:eastAsia="en-US"/>
        </w:rPr>
        <w:t>专业（技能）课</w:t>
      </w:r>
      <w:bookmarkEnd w:id="32"/>
    </w:p>
    <w:tbl>
      <w:tblPr>
        <w:tblStyle w:val="8"/>
        <w:tblW w:w="9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599"/>
        <w:gridCol w:w="1670"/>
        <w:gridCol w:w="3815"/>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blHeader/>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 号</w:t>
            </w:r>
          </w:p>
        </w:tc>
        <w:tc>
          <w:tcPr>
            <w:tcW w:w="1599"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课程名称</w:t>
            </w:r>
          </w:p>
        </w:tc>
        <w:tc>
          <w:tcPr>
            <w:tcW w:w="1670"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课程类别</w:t>
            </w:r>
          </w:p>
        </w:tc>
        <w:tc>
          <w:tcPr>
            <w:tcW w:w="3815"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课程目标、主要内容与教学要求</w:t>
            </w:r>
          </w:p>
        </w:tc>
        <w:tc>
          <w:tcPr>
            <w:tcW w:w="1443" w:type="dxa"/>
            <w:tcBorders>
              <w:top w:val="single" w:color="000000" w:sz="4" w:space="0"/>
              <w:left w:val="single" w:color="000000" w:sz="4" w:space="0"/>
              <w:bottom w:val="single" w:color="000000" w:sz="4" w:space="0"/>
              <w:right w:val="single" w:color="000000" w:sz="4" w:space="0"/>
            </w:tcBorders>
            <w:shd w:val="clear" w:color="auto" w:fill="4874CB"/>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市场营销基础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着重培养学生的分析问题，解决问题的实践能力。要求学生牢固树立以消费者需求为中心的市场营销观念，并以此观念为指导研究和解决市场营销的理论和实际问题；掌握市场营销的基本概念、基本原理和方法；紧密联系实际，加强营销案例分析，进行营销实战演习，解决企业实际问题。</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电子商务基础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本课程要求学生了解电子商务的含义、类型及特点， 熟悉B2B、B2C、C2C、团购等典型电子商务模式；掌握网络零售的主要交易流程，熟悉网上银行和第三方支付平台业务；能应用电子商务平台进行网上商店的搭建和日常商务交易处理，了解电子商务相关的法律法规、行业政策和网络安全常识。</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零售基础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零售渠道理论、零售业态理论、零售 产业分析、零售战略管理、零售区位管理、零售商品管理、零售门店管理、零售营销管理及国内外零售业的发展动态及相关案例。了解零售渠道理论、零售业态理论、 零售产业分析、零售战略管理、零售区位管理、零售 商品管理、零售门店管理、零售营销管理等相关知识， 能进行简单的案例分析。</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商品拍摄与素材编辑</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专业基础课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本课程学习选择与使用摄影设备，摆放产品、产品摄影构图、产品摄影用光；掌握不同材质产品的拍摄技巧；能够根据客户需求收集商品图片；能够熟练使用 photoshop 处理商品图片；能够熟练设计、制作网页广告；能够熟练地进行基本店铺的装修。</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客户服务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了解各种业务类型的电子商务客户服务的岗位要求，培养电商客服应具备的基本素质；掌握客户接待、倾听、沟通、异议处理技巧，熟练应用各种通讯工具开展网店客服工作；具备为电子商务企业开展客户服务的基础知识和基本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视觉设计与制作</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了解网站页面布局特点及不同页面布局所适用的范围；了解电子商务网站的特点和发展趋势；能使用平面设计软件，按照制作流程完成网站效果图的制作；能通过后台选择套版模板；选择配色方案；掌握调整页面布局，选择模块的操作方法；能通过后台上传图片至正确位置；能通过后台发表文章至正确位置；会修改代码，通过修改代码完成页面编辑。</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网络推广实务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掌握网络营销与传统营销的区别、网络营销的战略、网上调查、网上市场的特征与购买行为、网络产品策略、网络营销的服务、网络营销价格策略、网络营销渠道、网上促销策略、网络广告、网络营销的实施、组织和控制，认识到网络营销在电子商务专业中的重要作用。</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新媒体营销</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掌握新媒体基础内容制作，包括长图文、段图文、文案、短视频等各形式的内容创作；熟 悉新媒体活动运营的基础知识，了解活动定位与活动 形式，并能够制作完整的活动策划书。 熟悉用户运 营和内容运营的基础知识，了解用户拉新、促活、留 存、转化的技巧，做好用户的日常运营；并能维持日 常的新媒体内容运营，根据运营反馈调整输出。了解 常见新媒体平台的异同点，掌握各平台的运营技巧， 并形成新媒体矩阵，并能基于新媒体矩阵进行用户运 营、内容运营及活动运营。掌握裂变海报制作，及完 整裂变活动的操作与执行。</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新媒体运营</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本课程要求学生掌握新媒体图片设计技术，能通过网络渠道获取高质量图片；能运用在线图片处理工具制作符合各新媒体平台的文章封面、创意图片；能利用秀米、美图等工具制作长图；能利用 GIF 制作工具制作动态图；能利用斗图在线制作工具制作个性表情包；了解文章排版的常见类型，掌握常见排版工具的使用技巧，能选择合适的排版工具来进行排版工作；掌握新媒体视频拍摄与剪辑技术，能根据视频拍摄主题编写脚本；能用手机拍出好看、且富有创造力的照片，具备不同类型视频的制作技能及短视频发布平台选择能力；掌握新媒体数据收集与分析技术，能够能识别新媒体平台及用户数据类别及来源，采集新媒体数据，能对新媒体的传播数据、互动数据、转化数据进行分析，能够分析热点价值并筛选有价值的热点。</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直播销售</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直播电商策划、直播带货和推广的知识和技巧三大模块，为商品选品、内容策划、脚本策 划、商品讲解与展示、直播控场、直播 引流、二次 传播、数据分析等任务。围绕直播电商，从发展趋势、团队组 建、账号搭建、直播电商四大岗位基础技能培养（主 播、辅播、场控、运营）、分岗实训、团队实训，业 流程贯穿直播前、直播中、直播后，最终实现岗位能 力以及综合管理能力的培养。</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直播运营实务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专业核心课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掌握直播间场地选择和直播间场景搭建的方法，能根据直播内容和品牌方要求整理物料清单，进行直播物料准备；掌握直播短视频脚本撰写和拍摄要点，能根据短视频内容定位撰写短视频脚本并进行拍摄；熟悉直播流程，能够根据直播平台规则，完成电商直播平台的开通和直播间装修，完成商品发布与设置；熟悉直播脚本的要素， 能够编写直播脚本初稿；能够使用各种直播互动工具提升直播间热度；掌握粉丝关系管理的方法，能整理订单数据、合理安排发货、及时处理售后问题；熟悉直播数据分析的指标，能初步处理直播数据，分析销售目标达成情况和单场直播宣传推广整体效果。</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商业美术</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主要学习电子商务网站图案形式美的规律、图案的造型、平面图案的构成、图案的色彩、图案的制作技法、立体造型基础、图案应用及美术字等内容，创造美的设计作品，获得对各种样式和构成作品的艺术分析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推销技巧</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学习推销的基本程序和方法，能做好推销各环节的准备工作，具有寻找潜在顾客和接近顾客的能力；掌握推销洽谈方法，具有洽谈能力；具有处理顾客异议的能力；能做好成交及其后续工作。使学生具备从事商品销售所必需的推销知识，初步形成实际推销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消费心理学</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学习消费者购买商品的心理过程，了解消费者个性心理特征；理解消费者心理需要的特点和购买动机的内涵；影响消费者行为的因素；根据消费者在购买活动中的表现分析消费者的心理需要；对消费者具体购买动机和行为进行分析。使学生掌握从事商品销售工作所必需的销售心理的基本知识，具有分析消费者心理和针对不同消费者的心理特点提供优质服务的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网上创业</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本课程要求学生综合运用所学的专业技能，开展网店运营综合实训，强化网店经营管理、网店装修、网店推广、客户服务等实战技能，进一步提升学生网上创业的能力。</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电子商务数据分析（含1+X证书）</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本课程要求学生掌握基础数据采集、数据处理与描述性分析的知识、方法和工具，通过数据平台、问卷调研等工具或途径获取电子商务企业内、外部数据，根据数据分析的目的和主题，通过 Excel等数据处理工具对采集到的数据进行处理与基础分析。能够监测企业经营数据，及时发现数据异常，完成基础数据图表、报表制作。并在课程教学中融入电子商务数据 分析 1+X 初级证书考核相关知识技能，指导学生考取电子商务数据 分析 1+X 初级证书.</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商品知识</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本课程要求学生掌握商品的相关概念、商品标准、商品检验方法、商品包装、商品储存和养护以及食品、服装、日用百货、家用电器等主要商品知识，能够初步掌握商品质量检验的技能。</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公共关系</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要求了解公共关系工作程序各步骤的基本知识，学习掌握公共关系各项实务工作的基本知识，并通过公关实务的实习实践，掌握公关实务的基本技能。了解并掌握公关调查、公关计划、公关信息传播、公关效果评估、公关专题活动、接待工作、交际技巧、礼节习惯、谈判工作等公关的基本技能与技巧，为日后成为合格的公关工作人员而打好基础，做好公关知识技能方面的储备</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办公综合运用</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学习本课程可以帮助学生独立并正确地掌握办公软件的应用技术，通过学习本课程，使学生能够掌握办公集成软件的高级应用技术，进而理解计算思维在本专业领域的典型应用，为后续专业课程提供必要的计算机应用基础。</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管理学原理</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学原理》是电子商务专业、会计事务专业的专业课程，又是一门实践性和理论性、科学性和艺术性兼而有之的应用性学科。通过该课程学习，旨在让学生树立现代管理的思想，全面地了解现代管理的基本理论和方法，对管理实践问题进行分析和决策，培养基层管理岗位的综合管理技能与素质。为日后进入大专学习专业技术课程和职能管理课程打下扎实的理论基础，也为学生就业打下坚实的理论基础和职业基础。移动商务是电子商务专业的专业基础技能课。同时是电子商务专业一门面向职业岗位的综合性重实训课程。本课程在电商专业第四学期开设。</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移动商务</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本课程的讲解、演练与实践，促进本专业学生更好地掌握移动商务基础的基础理论，并具备移动商务基础核心技能的操作能力。课程通过理论教学及实践活动，培养学生移动商务基础概述、移动商务基础技术、移动支付与移动商务安全管理、移动商务基础价值链与商业模式、移动营销、移动商务基础开发技术、移动商务基础物流管理的知识与技能；同时培养学生具备实际就业中需要拥有的心理素质和职业素养。</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心里活动课</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专业拓展课</w:t>
            </w:r>
          </w:p>
        </w:tc>
        <w:tc>
          <w:tcPr>
            <w:tcW w:w="3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本课程以立德树人为根本任务，以团体活动 为载体，以班级全体学生为辅导对象，以发展、 预防和教育为主要功能。帮助学生确立正确的自我意识，树立人生理想和信念，培养积极的人格特质，提升人格魅力；帮助学生掌握学习策略，开发学习潜能，提高学习效率，积极应对考试；帮助学生认识自己的人际关系状况，培养人际沟通能力，知道友谊和爱情的界限，正确对待和异性同伴的交往，帮助学生建立良好的人际关系；帮助学生理解压力的意义，积极应对压力，进一步提高承受失败和挫折的能力，培养良好的意志品质；帮助学生了解自己的兴趣、能力、性格、特长和社会职业发展方向，进行升学就业的选择和准备，培养担当意识和社会责任感。</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r>
    </w:tbl>
    <w:p>
      <w:pPr>
        <w:rPr>
          <w:rFonts w:hint="eastAsia"/>
        </w:rPr>
      </w:pPr>
    </w:p>
    <w:p>
      <w:pPr>
        <w:rPr>
          <w:rFonts w:hint="eastAsia"/>
        </w:rPr>
      </w:pPr>
    </w:p>
    <w:p>
      <w:pPr>
        <w:pStyle w:val="2"/>
        <w:numPr>
          <w:ilvl w:val="0"/>
          <w:numId w:val="1"/>
        </w:numPr>
        <w:spacing w:before="28" w:line="240" w:lineRule="auto"/>
        <w:ind w:left="100" w:right="0"/>
        <w:jc w:val="left"/>
        <w:outlineLvl w:val="0"/>
      </w:pPr>
      <w:bookmarkStart w:id="33" w:name="_Toc12321"/>
      <w:bookmarkStart w:id="34" w:name="_Toc1891"/>
      <w:r>
        <w:t>教学进程总体安排</w:t>
      </w:r>
      <w:bookmarkEnd w:id="33"/>
      <w:bookmarkEnd w:id="34"/>
    </w:p>
    <w:p>
      <w:pPr>
        <w:pStyle w:val="3"/>
        <w:keepNext/>
        <w:keepLines/>
        <w:pageBreakBefore w:val="0"/>
        <w:widowControl w:val="0"/>
        <w:kinsoku/>
        <w:wordWrap/>
        <w:overflowPunct/>
        <w:topLinePunct w:val="0"/>
        <w:autoSpaceDE/>
        <w:autoSpaceDN/>
        <w:bidi w:val="0"/>
        <w:adjustRightInd/>
        <w:snapToGrid/>
        <w:spacing w:line="240" w:lineRule="exact"/>
        <w:textAlignment w:val="auto"/>
      </w:pPr>
      <w:bookmarkStart w:id="35" w:name="_Toc17256"/>
      <w:r>
        <w:rPr>
          <w:rFonts w:hint="eastAsia"/>
          <w:lang w:eastAsia="zh-CN"/>
        </w:rPr>
        <w:t>（</w:t>
      </w:r>
      <w:r>
        <w:rPr>
          <w:rFonts w:hint="eastAsia"/>
          <w:lang w:val="en-US" w:eastAsia="zh-CN"/>
        </w:rPr>
        <w:t>一）</w:t>
      </w:r>
      <w:r>
        <w:t>课程设置表</w:t>
      </w:r>
      <w:bookmarkEnd w:id="35"/>
    </w:p>
    <w:tbl>
      <w:tblPr>
        <w:tblStyle w:val="8"/>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677"/>
        <w:gridCol w:w="936"/>
        <w:gridCol w:w="737"/>
        <w:gridCol w:w="746"/>
        <w:gridCol w:w="588"/>
        <w:gridCol w:w="579"/>
        <w:gridCol w:w="579"/>
        <w:gridCol w:w="579"/>
        <w:gridCol w:w="579"/>
        <w:gridCol w:w="580"/>
        <w:gridCol w:w="692"/>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类别</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名称</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合计</w:t>
            </w:r>
          </w:p>
        </w:tc>
        <w:tc>
          <w:tcPr>
            <w:tcW w:w="3484" w:type="dxa"/>
            <w:gridSpan w:val="6"/>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w:t>
            </w:r>
            <w:r>
              <w:rPr>
                <w:rStyle w:val="13"/>
                <w:rFonts w:eastAsia="宋体"/>
                <w:lang w:val="en-US" w:eastAsia="zh-CN" w:bidi="ar"/>
              </w:rPr>
              <w:t xml:space="preserve"> </w:t>
            </w:r>
            <w:r>
              <w:rPr>
                <w:rStyle w:val="14"/>
                <w:lang w:val="en-US" w:eastAsia="zh-CN" w:bidi="ar"/>
              </w:rPr>
              <w:t>期</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方式</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blHeader/>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58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商业礼仪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零售基础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商品拍摄与素材编辑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视觉设计与制作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网络推广实务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新媒体运营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直播运营实务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推销技巧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消费心理学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网上创业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电子商务数据分析（含1+X证书）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办公综合运用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管理学原理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心理活动课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8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硬笔书法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8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8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军训（周）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总课时合计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r>
    </w:tbl>
    <w:p>
      <w:pPr>
        <w:spacing w:line="360" w:lineRule="auto"/>
        <w:ind w:firstLine="480" w:firstLineChars="200"/>
        <w:rPr>
          <w:rFonts w:hint="default" w:ascii="宋体" w:hAnsi="宋体" w:eastAsia="宋体" w:cs="宋体"/>
          <w:sz w:val="24"/>
          <w:szCs w:val="24"/>
          <w:lang w:val="en-US" w:eastAsia="zh-CN"/>
        </w:rPr>
      </w:pPr>
      <w:bookmarkStart w:id="36" w:name="_Toc4167"/>
      <w:r>
        <w:rPr>
          <w:rFonts w:hint="eastAsia" w:ascii="宋体" w:hAnsi="宋体" w:eastAsia="宋体" w:cs="宋体"/>
          <w:sz w:val="24"/>
          <w:szCs w:val="24"/>
          <w:lang w:val="en-US" w:eastAsia="zh-CN"/>
        </w:rPr>
        <w:t>1.实践活动包括职业素养、劳动教育、社会实践、综合实训等。</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2.1+X 证书融通课程开设在《直播运营实务》《网店运营》课程中，学生任选其一考取证书。</w:t>
      </w:r>
      <w:r>
        <w:rPr>
          <w:rFonts w:hint="eastAsia" w:ascii="宋体" w:hAnsi="宋体" w:eastAsia="宋体" w:cs="宋体"/>
          <w:sz w:val="24"/>
          <w:szCs w:val="24"/>
          <w:lang w:val="en-US" w:eastAsia="zh-CN"/>
        </w:rPr>
        <w:br w:type="page"/>
      </w:r>
    </w:p>
    <w:p>
      <w:pPr>
        <w:pStyle w:val="3"/>
        <w:keepNext/>
        <w:keepLines/>
        <w:pageBreakBefore w:val="0"/>
        <w:widowControl w:val="0"/>
        <w:kinsoku/>
        <w:wordWrap/>
        <w:overflowPunct/>
        <w:topLinePunct w:val="0"/>
        <w:autoSpaceDE/>
        <w:autoSpaceDN/>
        <w:bidi w:val="0"/>
        <w:adjustRightInd/>
        <w:snapToGrid/>
        <w:spacing w:line="240" w:lineRule="auto"/>
        <w:textAlignment w:val="auto"/>
        <w:rPr>
          <w:b/>
        </w:rPr>
      </w:pPr>
      <w:bookmarkStart w:id="37" w:name="_Toc16715"/>
      <w:r>
        <w:rPr>
          <w:rFonts w:hint="eastAsia"/>
          <w:b/>
          <w:lang w:val="en-US" w:eastAsia="zh-CN"/>
        </w:rPr>
        <w:t>（二）</w:t>
      </w:r>
      <w:r>
        <w:rPr>
          <w:b/>
        </w:rPr>
        <w:t>教学实践安排</w:t>
      </w:r>
      <w:bookmarkEnd w:id="37"/>
    </w:p>
    <w:tbl>
      <w:tblPr>
        <w:tblStyle w:val="8"/>
        <w:tblW w:w="100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040"/>
        <w:gridCol w:w="2170"/>
        <w:gridCol w:w="1040"/>
        <w:gridCol w:w="2593"/>
        <w:gridCol w:w="1580"/>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blHeader/>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教学时间</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实践类别</w:t>
            </w:r>
          </w:p>
        </w:tc>
        <w:tc>
          <w:tcPr>
            <w:tcW w:w="217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教学内容</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教学单位</w:t>
            </w:r>
          </w:p>
        </w:tc>
        <w:tc>
          <w:tcPr>
            <w:tcW w:w="2593"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教学目标</w:t>
            </w:r>
          </w:p>
        </w:tc>
        <w:tc>
          <w:tcPr>
            <w:tcW w:w="158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教学考核</w:t>
            </w:r>
          </w:p>
        </w:tc>
        <w:tc>
          <w:tcPr>
            <w:tcW w:w="631"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军训</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国防知识教育、装备知识介绍、时事政治学习、条例教育（含队列、分列式、阅兵式）、拉练、内务整理等。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本地部队</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 过 组 织 学 生 军训， 提高中职学生的国防观念和国家安全意识，增强学生的组织纪律观念 ，培养艰苦奋斗、吃苦耐劳的作风，掌握基本军事 知识和技能，进行素质培养。</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心得体会；思想汇报；队列队形考核；阅兵式考核；内务整理考核。</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认知实习</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为师生及客人进行礼仪服务；参加校办文秘、图书、实作室管理等辅助性工作；参加维护校园秩序、卫生和安全的工作等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结合现代服务业行业管理要求，培养学生的劳动意识和劳动技能，强化服务意识； 养成艰 苦朴素的作风。</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礼仪礼貌；劳动态度；劳动考核；团结协作；综合评价。</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认识实习</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网店客服市场调查网络推广网店运营物流配送。</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校外实训基地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进入企业学习网店客服、市场调查、网络推广、网店运营、物流配送等相关知识， 了解岗位 能力需求。</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企业考核</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项目实训</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网上创业项目电子商务综合实训项目网 店 运 营 推 广 项目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校内实训基地</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训练学生创新创业能力。</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创业成果考证</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顶岗实习</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（一）熟悉所在企业岗位的工作要 求 和 工 作 流程。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（二）独立完成 岗位工作。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（三）独立完成实习单位布置的其他各项工作。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合作企业</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用企业的标准规范学生的言行，以适应企 业和岗位的需求。</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企业考核学校考核</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spacing w:line="360" w:lineRule="auto"/>
        <w:ind w:left="0" w:leftChars="0" w:firstLine="0" w:firstLineChars="0"/>
        <w:rPr>
          <w:rFonts w:hint="default" w:eastAsia="宋体"/>
          <w:lang w:val="en-US" w:eastAsia="zh-CN"/>
        </w:rPr>
      </w:pPr>
    </w:p>
    <w:p>
      <w:pPr>
        <w:pStyle w:val="2"/>
        <w:numPr>
          <w:ilvl w:val="0"/>
          <w:numId w:val="2"/>
        </w:numPr>
        <w:spacing w:before="28" w:line="240" w:lineRule="auto"/>
        <w:ind w:left="100" w:right="0"/>
        <w:jc w:val="left"/>
        <w:outlineLvl w:val="0"/>
      </w:pPr>
      <w:bookmarkStart w:id="38" w:name="_Toc30523"/>
      <w:r>
        <w:t>实施保障</w:t>
      </w:r>
      <w:bookmarkEnd w:id="36"/>
      <w:bookmarkEnd w:id="38"/>
    </w:p>
    <w:p>
      <w:pPr>
        <w:pStyle w:val="3"/>
        <w:spacing w:before="194" w:line="240" w:lineRule="auto"/>
        <w:ind w:left="400" w:right="0"/>
        <w:jc w:val="both"/>
        <w:outlineLvl w:val="1"/>
        <w:rPr>
          <w:b w:val="0"/>
          <w:bCs w:val="0"/>
        </w:rPr>
      </w:pPr>
      <w:bookmarkStart w:id="39" w:name="（一）师资队伍"/>
      <w:bookmarkEnd w:id="39"/>
      <w:bookmarkStart w:id="40" w:name="_Toc13907"/>
      <w:bookmarkStart w:id="41" w:name="_Toc21778"/>
      <w:r>
        <w:rPr>
          <w:spacing w:val="-1"/>
        </w:rPr>
        <w:t>（一）师资队伍</w:t>
      </w:r>
      <w:bookmarkEnd w:id="40"/>
      <w:bookmarkEnd w:id="41"/>
    </w:p>
    <w:p>
      <w:pPr>
        <w:spacing w:before="174"/>
        <w:ind w:left="440" w:leftChars="0" w:right="0" w:firstLine="0" w:firstLineChars="0"/>
        <w:jc w:val="left"/>
        <w:outlineLvl w:val="2"/>
        <w:rPr>
          <w:rFonts w:ascii="黑体" w:hAnsi="黑体" w:eastAsia="黑体" w:cs="黑体"/>
          <w:sz w:val="30"/>
          <w:szCs w:val="30"/>
        </w:rPr>
      </w:pPr>
      <w:bookmarkStart w:id="42" w:name="1.队伍结构"/>
      <w:bookmarkEnd w:id="42"/>
      <w:bookmarkStart w:id="43" w:name="_Toc19708"/>
      <w:bookmarkStart w:id="44" w:name="_Toc18244"/>
      <w:r>
        <w:rPr>
          <w:rFonts w:ascii="黑体" w:hAnsi="黑体" w:eastAsia="黑体" w:cs="黑体"/>
          <w:b/>
          <w:bCs/>
          <w:sz w:val="30"/>
          <w:szCs w:val="30"/>
        </w:rPr>
        <w:t>1.队伍结构</w:t>
      </w:r>
      <w:bookmarkEnd w:id="43"/>
      <w:bookmarkEnd w:id="44"/>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根据教育部《中等职业学校教师专业标准》和《中等职业学 校设置标准》的有关规定，进行队伍建设，合理配置教师资源；现有专任教师8 人，专业学历职称结构合理，其中硕士学历2名，正高级教师1名；具有相关专业中级以上专业技术职务的专任教师4名；积极 建立“双师型 ”团队，“双师型 ”教师比例达 80%，并且聘有企业兼任教师 2 人。</w:t>
      </w:r>
    </w:p>
    <w:p>
      <w:pPr>
        <w:spacing w:line="360" w:lineRule="auto"/>
        <w:jc w:val="center"/>
        <w:rPr>
          <w:rFonts w:asciiTheme="minorEastAsia" w:hAnsiTheme="minorEastAsia" w:cstheme="minorEastAsia"/>
          <w:b/>
          <w:color w:val="auto"/>
          <w:sz w:val="24"/>
          <w:szCs w:val="24"/>
        </w:rPr>
      </w:pPr>
      <w:r>
        <w:rPr>
          <w:rFonts w:hint="eastAsia" w:asciiTheme="minorEastAsia" w:hAnsiTheme="minorEastAsia" w:cstheme="minorEastAsia"/>
          <w:b/>
          <w:color w:val="auto"/>
          <w:sz w:val="24"/>
          <w:szCs w:val="24"/>
        </w:rPr>
        <w:t>专业师资队伍名单</w:t>
      </w:r>
    </w:p>
    <w:p>
      <w:pPr>
        <w:spacing w:line="360" w:lineRule="auto"/>
        <w:ind w:left="0" w:leftChars="0" w:firstLine="0" w:firstLineChars="0"/>
        <w:jc w:val="both"/>
        <w:rPr>
          <w:rFonts w:hint="eastAsia" w:asciiTheme="minorEastAsia" w:hAnsiTheme="minorEastAsia" w:cstheme="minorEastAsia"/>
          <w:color w:val="auto"/>
          <w:sz w:val="24"/>
          <w:szCs w:val="24"/>
        </w:rPr>
      </w:pPr>
      <w:r>
        <w:rPr>
          <w:color w:val="auto"/>
          <w:szCs w:val="21"/>
        </w:rPr>
        <w:drawing>
          <wp:inline distT="0" distB="0" distL="0" distR="0">
            <wp:extent cx="5513070" cy="2819400"/>
            <wp:effectExtent l="9525" t="9525" r="14605" b="158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rcRect l="1689" t="24766" r="34530" b="17227"/>
                    <a:stretch>
                      <a:fillRect/>
                    </a:stretch>
                  </pic:blipFill>
                  <pic:spPr>
                    <a:xfrm>
                      <a:off x="0" y="0"/>
                      <a:ext cx="5513070" cy="2819400"/>
                    </a:xfrm>
                    <a:prstGeom prst="rect">
                      <a:avLst/>
                    </a:prstGeom>
                    <a:ln>
                      <a:solidFill>
                        <a:schemeClr val="tx1"/>
                      </a:solidFill>
                      <a:prstDash val="sysDot"/>
                    </a:ln>
                  </pic:spPr>
                </pic:pic>
              </a:graphicData>
            </a:graphic>
          </wp:inline>
        </w:drawing>
      </w:r>
    </w:p>
    <w:p>
      <w:pPr>
        <w:pStyle w:val="3"/>
        <w:numPr>
          <w:ilvl w:val="0"/>
          <w:numId w:val="3"/>
        </w:numPr>
        <w:tabs>
          <w:tab w:val="left" w:pos="440"/>
        </w:tabs>
        <w:spacing w:before="145" w:line="240" w:lineRule="auto"/>
        <w:ind w:left="440" w:leftChars="0" w:right="0" w:firstLine="0" w:firstLineChars="0"/>
        <w:jc w:val="left"/>
        <w:outlineLvl w:val="2"/>
        <w:rPr>
          <w:spacing w:val="-1"/>
        </w:rPr>
      </w:pPr>
      <w:bookmarkStart w:id="45" w:name="_Toc5877"/>
      <w:bookmarkStart w:id="46" w:name="_Toc267"/>
      <w:r>
        <w:rPr>
          <w:spacing w:val="-1"/>
        </w:rPr>
        <w:t>专任教师</w:t>
      </w:r>
      <w:bookmarkEnd w:id="45"/>
      <w:bookmarkEnd w:id="46"/>
    </w:p>
    <w:p>
      <w:pPr>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eastAsiaTheme="minorHAnsi" w:cstheme="minorEastAsia"/>
          <w:b w:val="0"/>
          <w:color w:val="auto"/>
          <w:sz w:val="24"/>
          <w:szCs w:val="24"/>
          <w:lang w:val="en-US" w:eastAsia="en-US" w:bidi="ar-SA"/>
        </w:rPr>
        <w:t>本专业专任教师师德高尚，综合素质高，无违纪违法行为，年度师德师风考评均为优秀。专业教师理论教学能力和实践教学能力较强，能合理运用现代化教 学手段，积极探索教学方法和手段创新，近 3 年来多次获得各级荣誉称号并参赛获奖。</w:t>
      </w:r>
      <w:r>
        <w:rPr>
          <w:rFonts w:hint="eastAsia" w:asciiTheme="minorEastAsia" w:hAnsiTheme="minorEastAsia" w:cstheme="minorEastAsia"/>
          <w:color w:val="auto"/>
          <w:sz w:val="24"/>
          <w:szCs w:val="24"/>
        </w:rPr>
        <w:t>专任教师应具有良好的师德和扎实的专业知识；具备与专业密切相关的中级及以上的职业资格，对本专业课程有全面的了解，有企业工作经验或实践经力，能把握专业前沿知识与技术，及时更新专业知识，加强实践能力的提升，具备教学设计和实施能力。</w:t>
      </w:r>
    </w:p>
    <w:p>
      <w:pPr>
        <w:pStyle w:val="3"/>
        <w:spacing w:before="28" w:line="240" w:lineRule="auto"/>
        <w:ind w:left="440" w:leftChars="0" w:right="0" w:firstLine="0" w:firstLineChars="0"/>
        <w:jc w:val="left"/>
        <w:outlineLvl w:val="2"/>
        <w:rPr>
          <w:b w:val="0"/>
          <w:bCs w:val="0"/>
        </w:rPr>
      </w:pPr>
      <w:bookmarkStart w:id="47" w:name="_Toc1385"/>
      <w:bookmarkStart w:id="48" w:name="_Toc6343"/>
      <w:r>
        <w:rPr>
          <w:spacing w:val="-1"/>
        </w:rPr>
        <w:t>3.兼职教师</w:t>
      </w:r>
      <w:bookmarkEnd w:id="47"/>
      <w:bookmarkEnd w:id="48"/>
    </w:p>
    <w:p>
      <w:pPr>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从行业企业聘请技术骨干或管理人员作为兼职教师，企业兼职教师参与到教学课程和教学设计中，把企业的新技术、新思路、新的管理理念等引入到教学实践过程中，对教学中存在的问题及时进行总结和反思。</w:t>
      </w:r>
    </w:p>
    <w:p>
      <w:pPr>
        <w:pStyle w:val="3"/>
        <w:spacing w:line="240" w:lineRule="auto"/>
        <w:ind w:left="180" w:right="0"/>
        <w:jc w:val="left"/>
        <w:outlineLvl w:val="1"/>
        <w:rPr>
          <w:b w:val="0"/>
          <w:bCs w:val="0"/>
        </w:rPr>
      </w:pPr>
      <w:bookmarkStart w:id="49" w:name="_Toc31454"/>
      <w:bookmarkStart w:id="50" w:name="_Toc5967"/>
      <w:r>
        <w:rPr>
          <w:spacing w:val="-1"/>
        </w:rPr>
        <w:t>（二）教学设施</w:t>
      </w:r>
      <w:bookmarkEnd w:id="49"/>
      <w:bookmarkEnd w:id="50"/>
    </w:p>
    <w:p>
      <w:pPr>
        <w:pStyle w:val="3"/>
        <w:numPr>
          <w:ilvl w:val="0"/>
          <w:numId w:val="0"/>
        </w:numPr>
        <w:spacing w:before="145" w:line="360" w:lineRule="auto"/>
        <w:ind w:right="0" w:rightChars="0" w:firstLine="480" w:firstLineChars="200"/>
        <w:jc w:val="left"/>
        <w:rPr>
          <w:rFonts w:hint="eastAsia" w:asciiTheme="minorEastAsia" w:hAnsiTheme="minorEastAsia" w:eastAsiaTheme="minorHAnsi" w:cstheme="minorEastAsia"/>
          <w:b w:val="0"/>
          <w:color w:val="auto"/>
          <w:sz w:val="24"/>
          <w:szCs w:val="24"/>
          <w:lang w:val="en-US" w:eastAsia="en-US" w:bidi="ar-SA"/>
        </w:rPr>
      </w:pPr>
      <w:bookmarkStart w:id="51" w:name="_Toc19372"/>
      <w:r>
        <w:rPr>
          <w:rFonts w:hint="eastAsia" w:asciiTheme="minorEastAsia" w:hAnsiTheme="minorEastAsia" w:eastAsiaTheme="minorHAnsi" w:cstheme="minorEastAsia"/>
          <w:b w:val="0"/>
          <w:color w:val="auto"/>
          <w:sz w:val="24"/>
          <w:szCs w:val="24"/>
          <w:lang w:val="en-US" w:eastAsia="en-US" w:bidi="ar-SA"/>
        </w:rPr>
        <w:t>为确保本专业实验、实训、实习课程的顺利实施，需建设一批稳定的校内外 实践教学基地，本专业应配备校内实训实习室和校外实习基地如下：</w:t>
      </w:r>
      <w:bookmarkEnd w:id="51"/>
    </w:p>
    <w:p>
      <w:pPr>
        <w:pStyle w:val="3"/>
        <w:spacing w:before="28" w:line="240" w:lineRule="auto"/>
        <w:ind w:left="440" w:leftChars="0" w:right="0" w:firstLine="0" w:firstLineChars="0"/>
        <w:jc w:val="left"/>
        <w:outlineLvl w:val="2"/>
        <w:rPr>
          <w:rFonts w:hint="eastAsia"/>
          <w:spacing w:val="-1"/>
          <w:lang w:val="en-US" w:eastAsia="en-US"/>
        </w:rPr>
      </w:pPr>
      <w:bookmarkStart w:id="52" w:name="_Toc9797"/>
      <w:bookmarkStart w:id="53" w:name="_Toc10981"/>
      <w:r>
        <w:rPr>
          <w:rFonts w:hint="eastAsia"/>
          <w:spacing w:val="-1"/>
          <w:lang w:val="en-US" w:eastAsia="en-US"/>
        </w:rPr>
        <w:t>1.校内实训室</w:t>
      </w:r>
      <w:bookmarkEnd w:id="52"/>
      <w:bookmarkEnd w:id="53"/>
    </w:p>
    <w:p>
      <w:pPr>
        <w:pStyle w:val="3"/>
        <w:numPr>
          <w:ilvl w:val="0"/>
          <w:numId w:val="0"/>
        </w:numPr>
        <w:spacing w:before="145" w:line="360" w:lineRule="auto"/>
        <w:ind w:right="0" w:rightChars="0" w:firstLine="480" w:firstLineChars="200"/>
        <w:jc w:val="left"/>
        <w:rPr>
          <w:rFonts w:hint="eastAsia" w:asciiTheme="minorEastAsia" w:hAnsiTheme="minorEastAsia" w:eastAsiaTheme="minorHAnsi" w:cstheme="minorEastAsia"/>
          <w:b w:val="0"/>
          <w:color w:val="auto"/>
          <w:sz w:val="24"/>
          <w:szCs w:val="24"/>
          <w:lang w:val="en-US" w:eastAsia="en-US" w:bidi="ar-SA"/>
        </w:rPr>
      </w:pPr>
      <w:bookmarkStart w:id="54" w:name="_Toc13243"/>
      <w:r>
        <w:rPr>
          <w:rFonts w:hint="eastAsia" w:asciiTheme="minorEastAsia" w:hAnsiTheme="minorEastAsia" w:eastAsiaTheme="minorHAnsi" w:cstheme="minorEastAsia"/>
          <w:b w:val="0"/>
          <w:color w:val="auto"/>
          <w:sz w:val="24"/>
          <w:szCs w:val="24"/>
          <w:lang w:val="en-US" w:eastAsia="en-US" w:bidi="ar-SA"/>
        </w:rPr>
        <w:t>本专业应配备客户服务综合实训室、移动商务实训室、直播电商实训室、创 新创业实训室、无人超市，主要设施设备及数量见下表。</w:t>
      </w:r>
      <w:bookmarkEnd w:id="54"/>
    </w:p>
    <w:tbl>
      <w:tblPr>
        <w:tblStyle w:val="8"/>
        <w:tblW w:w="92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0"/>
        <w:gridCol w:w="1183"/>
        <w:gridCol w:w="1862"/>
        <w:gridCol w:w="1040"/>
        <w:gridCol w:w="1040"/>
        <w:gridCol w:w="1040"/>
        <w:gridCol w:w="958"/>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实（验）训室 名称</w:t>
            </w:r>
          </w:p>
        </w:tc>
        <w:tc>
          <w:tcPr>
            <w:tcW w:w="5940" w:type="dxa"/>
            <w:gridSpan w:val="5"/>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主要设备</w:t>
            </w:r>
          </w:p>
        </w:tc>
        <w:tc>
          <w:tcPr>
            <w:tcW w:w="1040" w:type="dxa"/>
            <w:vMerge w:val="restart"/>
            <w:tcBorders>
              <w:top w:val="single" w:color="000000" w:sz="4" w:space="0"/>
              <w:left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 训工位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设备单价（元）</w:t>
            </w:r>
          </w:p>
        </w:tc>
        <w:tc>
          <w:tcPr>
            <w:tcW w:w="104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购置日期</w:t>
            </w:r>
          </w:p>
        </w:tc>
        <w:tc>
          <w:tcPr>
            <w:tcW w:w="95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设备状况</w:t>
            </w:r>
          </w:p>
        </w:tc>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创业实践基 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O2O 展厅</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B2C 商城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电子商务商品、展示厅柜</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批</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学生创业工作室</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间</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2012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摄影棚</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 60D、70D 摄影相机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 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 数码相机</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 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闪光灯</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 套</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柔光灯箱</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 套</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静物展台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 个</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2013 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美工实训室</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启天 M4500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 台</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图形、视频处理系列软件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套</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移动电商创 业实训室</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IPAD</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 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网络营销软件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2017年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众创工作室</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启天 M4500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 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电子商务模拟软件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跨境电子商务软件</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w:t>
            </w: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pStyle w:val="3"/>
        <w:spacing w:before="28" w:line="240" w:lineRule="auto"/>
        <w:ind w:left="440" w:leftChars="0" w:right="0" w:firstLine="0" w:firstLineChars="0"/>
        <w:jc w:val="left"/>
        <w:outlineLvl w:val="2"/>
        <w:rPr>
          <w:rFonts w:hint="eastAsia"/>
          <w:spacing w:val="-1"/>
          <w:lang w:val="en-US" w:eastAsia="en-US"/>
        </w:rPr>
      </w:pPr>
      <w:bookmarkStart w:id="55" w:name="_Toc4969"/>
      <w:bookmarkStart w:id="56" w:name="_Toc1647"/>
      <w:r>
        <w:rPr>
          <w:rFonts w:hint="eastAsia"/>
          <w:spacing w:val="-1"/>
          <w:lang w:val="en-US" w:eastAsia="zh-CN"/>
        </w:rPr>
        <w:t>2.</w:t>
      </w:r>
      <w:r>
        <w:rPr>
          <w:rFonts w:hint="eastAsia"/>
          <w:spacing w:val="-1"/>
          <w:lang w:val="en-US" w:eastAsia="en-US"/>
        </w:rPr>
        <w:t>校外实训实习基地</w:t>
      </w:r>
      <w:bookmarkEnd w:id="55"/>
      <w:bookmarkEnd w:id="56"/>
    </w:p>
    <w:p>
      <w:pPr>
        <w:spacing w:line="360" w:lineRule="auto"/>
        <w:ind w:firstLine="480" w:firstLineChars="200"/>
        <w:rPr>
          <w:rFonts w:hint="eastAsia"/>
          <w:sz w:val="24"/>
          <w:szCs w:val="24"/>
          <w:lang w:val="en-US" w:eastAsia="en-US"/>
        </w:rPr>
      </w:pPr>
      <w:r>
        <w:rPr>
          <w:rFonts w:hint="eastAsia"/>
          <w:sz w:val="24"/>
          <w:szCs w:val="24"/>
          <w:lang w:val="en-US" w:eastAsia="en-US"/>
        </w:rPr>
        <w:t>根据电子商务专业人才培养需要和产业技术发展特点，应在企业建立两类校 外实训基地：一类是以专业认识和参观为主的实训基地，能够反映目前电子商务 行业发展新模式、新技术，并能同时接纳较多学生学习，为新生入学教育和认识 专业课程教学提供条件；另一类是以社会实践及学生顶岗实习为主的实训地， 能够为学生提供真实专业技能方向综合实践轮岗训练的工作岗位，并能保证有效 工作实践，该基地能根据培养目标要求和实践教学内容，校企合作共同制定实习 计划和教学大纲，精心编排教学设计并组织、管理教学过程。</w:t>
      </w:r>
    </w:p>
    <w:tbl>
      <w:tblPr>
        <w:tblStyle w:val="8"/>
        <w:tblW w:w="6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0"/>
        <w:gridCol w:w="3098"/>
        <w:gridCol w:w="2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9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实训基地名称</w:t>
            </w:r>
          </w:p>
        </w:tc>
        <w:tc>
          <w:tcPr>
            <w:tcW w:w="242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功能定位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XX科技有限公司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XX信息技术有限公司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认识实习、跟岗实习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XX信息有限公司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认识实习、跟岗实习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XX世纪贸易有限公司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XX在线旅游发展有限公司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XX信息技术有限公司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跟岗实习、顶岗实习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XX农业科技有限公司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跟岗实习、顶岗实习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XX电子商务有限公司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认识实习、顶岗实习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XX商务有限公司</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跟岗实习、顶岗实习</w:t>
            </w:r>
          </w:p>
        </w:tc>
      </w:tr>
    </w:tbl>
    <w:p>
      <w:pPr>
        <w:rPr>
          <w:rFonts w:hint="eastAsia"/>
          <w:lang w:val="en-US" w:eastAsia="en-US"/>
        </w:rPr>
      </w:pPr>
    </w:p>
    <w:p>
      <w:pPr>
        <w:pStyle w:val="3"/>
        <w:spacing w:before="14" w:line="240" w:lineRule="auto"/>
        <w:ind w:left="280" w:right="0"/>
        <w:jc w:val="left"/>
        <w:outlineLvl w:val="1"/>
        <w:rPr>
          <w:b w:val="0"/>
          <w:bCs w:val="0"/>
        </w:rPr>
      </w:pPr>
      <w:bookmarkStart w:id="57" w:name="_Toc31933"/>
      <w:bookmarkStart w:id="58" w:name="_Toc28098"/>
      <w:r>
        <w:rPr>
          <w:spacing w:val="-1"/>
        </w:rPr>
        <w:t>（三）教学资源</w:t>
      </w:r>
      <w:bookmarkEnd w:id="57"/>
      <w:bookmarkEnd w:id="58"/>
    </w:p>
    <w:p>
      <w:pPr>
        <w:pStyle w:val="3"/>
        <w:numPr>
          <w:ilvl w:val="0"/>
          <w:numId w:val="0"/>
        </w:numPr>
        <w:spacing w:before="145" w:line="360" w:lineRule="auto"/>
        <w:ind w:left="440" w:leftChars="0" w:right="0" w:rightChars="0" w:firstLine="480" w:firstLineChars="200"/>
        <w:jc w:val="left"/>
        <w:rPr>
          <w:rFonts w:hint="eastAsia" w:asciiTheme="minorHAnsi" w:hAnsiTheme="minorHAnsi" w:eastAsiaTheme="minorHAnsi" w:cstheme="minorBidi"/>
          <w:b w:val="0"/>
          <w:sz w:val="24"/>
          <w:szCs w:val="24"/>
          <w:lang w:val="en-US" w:eastAsia="en-US" w:bidi="ar-SA"/>
        </w:rPr>
      </w:pPr>
      <w:bookmarkStart w:id="59" w:name="_Toc728"/>
      <w:r>
        <w:rPr>
          <w:rFonts w:hint="eastAsia" w:asciiTheme="minorHAnsi" w:hAnsiTheme="minorHAnsi" w:eastAsiaTheme="minorHAnsi" w:cstheme="minorBidi"/>
          <w:b w:val="0"/>
          <w:sz w:val="24"/>
          <w:szCs w:val="24"/>
          <w:lang w:val="en-US" w:eastAsia="en-US" w:bidi="ar-SA"/>
        </w:rPr>
        <w:t>主要包括能够满足学生专业学习、教师专业教学研究和教学实施需要的教材、 图书及数字化资源等。</w:t>
      </w:r>
      <w:bookmarkEnd w:id="59"/>
    </w:p>
    <w:p>
      <w:pPr>
        <w:spacing w:before="28" w:line="360" w:lineRule="auto"/>
        <w:ind w:left="440" w:leftChars="0" w:right="0" w:firstLine="0" w:firstLineChars="0"/>
        <w:jc w:val="left"/>
        <w:outlineLvl w:val="2"/>
        <w:rPr>
          <w:rFonts w:ascii="黑体" w:hAnsi="黑体" w:eastAsia="黑体" w:cs="黑体"/>
          <w:sz w:val="28"/>
          <w:szCs w:val="28"/>
        </w:rPr>
      </w:pPr>
      <w:bookmarkStart w:id="60" w:name="_Toc21377"/>
      <w:bookmarkStart w:id="61" w:name="_Toc22701"/>
      <w:r>
        <w:rPr>
          <w:rFonts w:ascii="黑体" w:hAnsi="黑体" w:eastAsia="黑体" w:cs="黑体"/>
          <w:b/>
          <w:bCs/>
          <w:spacing w:val="-1"/>
          <w:sz w:val="28"/>
          <w:szCs w:val="28"/>
        </w:rPr>
        <w:t>1.教材选用及使用要求</w:t>
      </w:r>
      <w:bookmarkEnd w:id="60"/>
      <w:bookmarkEnd w:id="61"/>
    </w:p>
    <w:p>
      <w:pPr>
        <w:spacing w:line="360" w:lineRule="auto"/>
        <w:ind w:firstLine="440" w:firstLineChars="200"/>
        <w:rPr>
          <w:rFonts w:hint="eastAsia"/>
        </w:rPr>
      </w:pPr>
      <w:r>
        <w:rPr>
          <w:rFonts w:hint="eastAsia"/>
        </w:rPr>
        <w:t>针对专业及学生的特点，按程序选用教材，分析目前专业发展现状，合理选 择与课程目标相符合、充分体现任务引领、实践导向，选用新技术、新工艺、新 规范等的国规教材，同时积极开发与行业接轨，适合本专业发展需求的校本教材 以达到专业课程目标要求与行业岗位需求的无缝对接和教材内容的高度切合。</w:t>
      </w:r>
    </w:p>
    <w:p>
      <w:pPr>
        <w:pStyle w:val="3"/>
        <w:spacing w:before="28" w:line="240" w:lineRule="auto"/>
        <w:ind w:left="440" w:leftChars="0" w:right="0" w:firstLine="0" w:firstLineChars="0"/>
        <w:jc w:val="left"/>
        <w:outlineLvl w:val="2"/>
        <w:rPr>
          <w:spacing w:val="-1"/>
        </w:rPr>
      </w:pPr>
      <w:bookmarkStart w:id="62" w:name="_Toc30094"/>
      <w:bookmarkStart w:id="63" w:name="_Toc21360"/>
      <w:r>
        <w:rPr>
          <w:spacing w:val="-1"/>
        </w:rPr>
        <w:t>2.图书资料配备要求</w:t>
      </w:r>
      <w:bookmarkEnd w:id="62"/>
      <w:bookmarkEnd w:id="63"/>
    </w:p>
    <w:p>
      <w:pPr>
        <w:pStyle w:val="3"/>
        <w:spacing w:before="28" w:line="360" w:lineRule="auto"/>
        <w:ind w:right="0" w:firstLine="440" w:firstLineChars="200"/>
        <w:jc w:val="left"/>
        <w:rPr>
          <w:rFonts w:hint="eastAsia" w:asciiTheme="minorHAnsi" w:hAnsiTheme="minorHAnsi" w:eastAsiaTheme="minorHAnsi" w:cstheme="minorBidi"/>
          <w:b w:val="0"/>
          <w:sz w:val="22"/>
          <w:szCs w:val="22"/>
          <w:lang w:val="en-US" w:eastAsia="en-US" w:bidi="ar-SA"/>
        </w:rPr>
      </w:pPr>
      <w:bookmarkStart w:id="64" w:name="_Toc4183"/>
      <w:r>
        <w:rPr>
          <w:rFonts w:hint="eastAsia" w:asciiTheme="minorHAnsi" w:hAnsiTheme="minorHAnsi" w:eastAsiaTheme="minorHAnsi" w:cstheme="minorBidi"/>
          <w:b w:val="0"/>
          <w:sz w:val="22"/>
          <w:szCs w:val="22"/>
          <w:lang w:val="en-US" w:eastAsia="en-US" w:bidi="ar-SA"/>
        </w:rPr>
        <w:t>根据专业教育、教学和科研工作的需要，购买供师生使用的工具书、教学参 考书、教育教学研究理论书籍和应用型专业书籍，为师生提供与专业相关的文献 信息检索查询、专业学习和课外阅读等。</w:t>
      </w:r>
      <w:bookmarkEnd w:id="64"/>
    </w:p>
    <w:p>
      <w:pPr>
        <w:pStyle w:val="3"/>
        <w:numPr>
          <w:ilvl w:val="0"/>
          <w:numId w:val="3"/>
        </w:numPr>
        <w:spacing w:line="360" w:lineRule="auto"/>
        <w:ind w:left="440" w:leftChars="0" w:right="0" w:firstLine="0" w:firstLineChars="0"/>
        <w:jc w:val="left"/>
        <w:outlineLvl w:val="2"/>
        <w:rPr>
          <w:spacing w:val="-1"/>
        </w:rPr>
      </w:pPr>
      <w:bookmarkStart w:id="65" w:name="_Toc25142"/>
      <w:bookmarkStart w:id="66" w:name="_Toc11326"/>
      <w:r>
        <w:rPr>
          <w:spacing w:val="-1"/>
        </w:rPr>
        <w:t>数字资源配备要求</w:t>
      </w:r>
      <w:bookmarkEnd w:id="65"/>
      <w:bookmarkEnd w:id="66"/>
    </w:p>
    <w:p>
      <w:pPr>
        <w:pStyle w:val="3"/>
        <w:spacing w:before="28" w:line="360" w:lineRule="auto"/>
        <w:ind w:right="0" w:firstLine="440" w:firstLineChars="200"/>
        <w:jc w:val="left"/>
        <w:rPr>
          <w:rFonts w:hint="eastAsia" w:asciiTheme="minorHAnsi" w:hAnsiTheme="minorHAnsi" w:eastAsiaTheme="minorHAnsi" w:cstheme="minorBidi"/>
          <w:b w:val="0"/>
          <w:sz w:val="22"/>
          <w:szCs w:val="22"/>
          <w:lang w:val="en-US" w:eastAsia="en-US" w:bidi="ar-SA"/>
        </w:rPr>
      </w:pPr>
      <w:bookmarkStart w:id="67" w:name="_Toc4640"/>
      <w:r>
        <w:rPr>
          <w:rFonts w:hint="eastAsia" w:asciiTheme="minorHAnsi" w:hAnsiTheme="minorHAnsi" w:eastAsiaTheme="minorHAnsi" w:cstheme="minorBidi"/>
          <w:b w:val="0"/>
          <w:sz w:val="22"/>
          <w:szCs w:val="22"/>
          <w:lang w:val="en-US" w:eastAsia="en-US" w:bidi="ar-SA"/>
        </w:rPr>
        <w:t>结合专业发展的需求和行业要求，在“商学结合”，“项目实战”的理念指 导下，建设本专业的课程数字资源库，所有资源的建设都围绕行业需求和实战项 目展开。案例资源库以项目资源库为主，充分满足专业主要岗位实训项目需求。</w:t>
      </w:r>
      <w:bookmarkEnd w:id="67"/>
    </w:p>
    <w:p>
      <w:pPr>
        <w:pStyle w:val="3"/>
        <w:spacing w:line="240" w:lineRule="auto"/>
        <w:ind w:left="280" w:right="0"/>
        <w:jc w:val="left"/>
        <w:outlineLvl w:val="1"/>
        <w:rPr>
          <w:b w:val="0"/>
          <w:bCs w:val="0"/>
        </w:rPr>
      </w:pPr>
      <w:bookmarkStart w:id="68" w:name="_Toc24422"/>
      <w:bookmarkStart w:id="69" w:name="_Toc32196"/>
      <w:r>
        <w:rPr>
          <w:spacing w:val="-1"/>
        </w:rPr>
        <w:t>（四）教学方法</w:t>
      </w:r>
      <w:bookmarkEnd w:id="68"/>
      <w:bookmarkEnd w:id="69"/>
    </w:p>
    <w:p>
      <w:pPr>
        <w:pStyle w:val="3"/>
        <w:spacing w:before="28" w:line="360" w:lineRule="auto"/>
        <w:ind w:right="0" w:firstLine="480" w:firstLineChars="200"/>
        <w:jc w:val="left"/>
        <w:rPr>
          <w:rFonts w:hint="eastAsia" w:asciiTheme="minorEastAsia" w:hAnsiTheme="minorEastAsia" w:eastAsiaTheme="minorEastAsia" w:cstheme="minorEastAsia"/>
          <w:b w:val="0"/>
          <w:sz w:val="24"/>
          <w:szCs w:val="24"/>
          <w:lang w:val="en-US" w:eastAsia="en-US" w:bidi="ar-SA"/>
        </w:rPr>
      </w:pPr>
      <w:bookmarkStart w:id="70" w:name="_Toc14276"/>
      <w:r>
        <w:rPr>
          <w:rFonts w:hint="eastAsia" w:asciiTheme="minorEastAsia" w:hAnsiTheme="minorEastAsia" w:eastAsiaTheme="minorEastAsia" w:cstheme="minorEastAsia"/>
          <w:b w:val="0"/>
          <w:sz w:val="24"/>
          <w:szCs w:val="24"/>
          <w:lang w:val="en-US" w:eastAsia="en-US" w:bidi="ar-SA"/>
        </w:rPr>
        <w:t>公共基础课教学要符合教育部有关教育教学基本要求，按照培养学生基本科 学文化素养、服务学生专业学习和终身发展的功能来定位，重在教学方法、教学 组织形式的改革，教学手段、教学模式的创新，调动学生学习积极性，为学生综 合素质的提高、职业能力的形成和可持续发展奠定基础。</w:t>
      </w:r>
      <w:bookmarkEnd w:id="70"/>
    </w:p>
    <w:p>
      <w:pPr>
        <w:spacing w:line="360" w:lineRule="auto"/>
        <w:ind w:firstLine="480" w:firstLineChars="200"/>
        <w:rPr>
          <w:rFonts w:hint="eastAsia"/>
          <w:lang w:val="en-US" w:eastAsia="en-US"/>
        </w:rPr>
      </w:pPr>
      <w:r>
        <w:rPr>
          <w:rFonts w:hint="eastAsia" w:asciiTheme="minorEastAsia" w:hAnsiTheme="minorEastAsia" w:eastAsiaTheme="minorEastAsia" w:cstheme="minorEastAsia"/>
          <w:b w:val="0"/>
          <w:sz w:val="24"/>
          <w:szCs w:val="24"/>
          <w:lang w:val="en-US" w:eastAsia="en-US" w:bidi="ar-SA"/>
        </w:rPr>
        <w:t>专业课坚持商学结合、双创育人人才培养模式，按照相应职业岗位（群）的 能力要求，强化理论实践一体化，突出“做中学、创中学”的职业教育教学特色 提倡项目教学、案例教学、任务教学、角色扮演、情境教学等方法，利用校内外 实训基地，将学生的自主学习、合作学习和教师引导教学等教学组织形式有机结 合。</w:t>
      </w:r>
    </w:p>
    <w:p>
      <w:pPr>
        <w:pStyle w:val="3"/>
        <w:spacing w:line="240" w:lineRule="auto"/>
        <w:ind w:left="280" w:right="0"/>
        <w:jc w:val="left"/>
        <w:outlineLvl w:val="1"/>
        <w:rPr>
          <w:rFonts w:hint="eastAsia"/>
          <w:spacing w:val="-1"/>
          <w:lang w:val="en-US" w:eastAsia="en-US"/>
        </w:rPr>
      </w:pPr>
      <w:bookmarkStart w:id="71" w:name="_Toc30538"/>
      <w:r>
        <w:rPr>
          <w:rFonts w:hint="eastAsia"/>
          <w:spacing w:val="-1"/>
          <w:lang w:val="en-US" w:eastAsia="en-US"/>
        </w:rPr>
        <w:t>（五）学习评价</w:t>
      </w:r>
      <w:bookmarkEnd w:id="71"/>
    </w:p>
    <w:p>
      <w:pPr>
        <w:spacing w:line="360" w:lineRule="auto"/>
        <w:ind w:firstLine="480" w:firstLineChars="200"/>
        <w:rPr>
          <w:rFonts w:hint="eastAsia"/>
          <w:sz w:val="24"/>
          <w:szCs w:val="24"/>
          <w:lang w:val="en-US" w:eastAsia="en-US"/>
        </w:rPr>
      </w:pPr>
      <w:r>
        <w:rPr>
          <w:rFonts w:hint="eastAsia"/>
          <w:sz w:val="24"/>
          <w:szCs w:val="24"/>
          <w:lang w:val="en-US" w:eastAsia="en-US"/>
        </w:rPr>
        <w:t>根据本专业培养目标和以人为本的发展理念，建立科学的评价标准。教学评 价应体现评价主体、评价方式、评价过程的多元化，注意吸收家长、行业企业参 与。校内校外评价结合，职业技能鉴定与学业考核结合，教师评价、学生互评与 自我评价结合。过程性评价与结果性评价结合，不仅关注学生对知识的理解和技 能的掌握，更要关注知识在实践中运用与解决实际问题的能力水平，重视规范操 作、安全文明生产等职业素质的形成，以及节约能源、节省原材料与爱护生产设 备，保护环境等意识与观念的树立。应将上述要求，结合本专业实际予以具体化。</w:t>
      </w:r>
    </w:p>
    <w:p>
      <w:pPr>
        <w:pStyle w:val="3"/>
        <w:spacing w:line="360" w:lineRule="auto"/>
        <w:ind w:left="280" w:right="0"/>
        <w:jc w:val="left"/>
        <w:outlineLvl w:val="1"/>
        <w:rPr>
          <w:rFonts w:hint="eastAsia"/>
          <w:spacing w:val="-1"/>
          <w:lang w:val="en-US" w:eastAsia="en-US"/>
        </w:rPr>
      </w:pPr>
      <w:bookmarkStart w:id="72" w:name="_Toc845"/>
      <w:r>
        <w:rPr>
          <w:rFonts w:hint="eastAsia"/>
          <w:spacing w:val="-1"/>
          <w:lang w:val="en-US" w:eastAsia="en-US"/>
        </w:rPr>
        <w:t>（六）质量管理</w:t>
      </w:r>
      <w:bookmarkEnd w:id="72"/>
    </w:p>
    <w:p>
      <w:pPr>
        <w:pStyle w:val="3"/>
        <w:spacing w:before="28" w:line="360" w:lineRule="auto"/>
        <w:ind w:right="0" w:firstLine="480" w:firstLineChars="200"/>
        <w:jc w:val="left"/>
        <w:rPr>
          <w:rFonts w:hint="eastAsia" w:asciiTheme="minorEastAsia" w:hAnsiTheme="minorEastAsia" w:eastAsiaTheme="minorEastAsia" w:cstheme="minorEastAsia"/>
          <w:b w:val="0"/>
          <w:sz w:val="24"/>
          <w:szCs w:val="24"/>
          <w:lang w:val="en-US" w:eastAsia="en-US" w:bidi="ar-SA"/>
        </w:rPr>
      </w:pPr>
      <w:bookmarkStart w:id="73" w:name="_Toc21044"/>
      <w:r>
        <w:rPr>
          <w:rFonts w:hint="eastAsia" w:asciiTheme="minorEastAsia" w:hAnsiTheme="minorEastAsia" w:eastAsiaTheme="minorEastAsia" w:cstheme="minorEastAsia"/>
          <w:b w:val="0"/>
          <w:sz w:val="24"/>
          <w:szCs w:val="24"/>
          <w:lang w:val="en-US" w:eastAsia="en-US" w:bidi="ar-SA"/>
        </w:rPr>
        <w:t>健全专业教学和教学质量诊断与改进机制，完善专业教学质量监控管理制度。 完善教学管理机制，加强日常教学组织运行与管理，建立健全巡课、听课、评教 评学等制度，定期开展公开课、示范课等教研活动。完善毕业生跟踪反馈机制及社会评价机制。</w:t>
      </w:r>
      <w:bookmarkEnd w:id="73"/>
    </w:p>
    <w:p>
      <w:pPr>
        <w:pStyle w:val="2"/>
        <w:numPr>
          <w:ilvl w:val="0"/>
          <w:numId w:val="2"/>
        </w:numPr>
        <w:spacing w:before="28" w:line="240" w:lineRule="auto"/>
        <w:ind w:left="100" w:right="0"/>
        <w:jc w:val="left"/>
        <w:outlineLvl w:val="0"/>
        <w:rPr>
          <w:rFonts w:hint="eastAsia"/>
          <w:lang w:val="en-US" w:eastAsia="en-US"/>
        </w:rPr>
      </w:pPr>
      <w:bookmarkStart w:id="74" w:name="_Toc21658"/>
      <w:r>
        <w:rPr>
          <w:rFonts w:hint="eastAsia"/>
          <w:lang w:val="en-US" w:eastAsia="en-US"/>
        </w:rPr>
        <w:t>毕业要求</w:t>
      </w:r>
      <w:bookmarkEnd w:id="74"/>
    </w:p>
    <w:p>
      <w:pPr>
        <w:pStyle w:val="3"/>
        <w:spacing w:line="240" w:lineRule="auto"/>
        <w:ind w:left="280" w:right="0"/>
        <w:jc w:val="left"/>
        <w:outlineLvl w:val="1"/>
        <w:rPr>
          <w:rFonts w:hint="eastAsia"/>
          <w:spacing w:val="-1"/>
          <w:lang w:val="en-US" w:eastAsia="en-US"/>
        </w:rPr>
      </w:pPr>
      <w:bookmarkStart w:id="75" w:name="_Toc26693"/>
      <w:r>
        <w:rPr>
          <w:rFonts w:hint="eastAsia"/>
          <w:spacing w:val="-1"/>
          <w:lang w:val="en-US" w:eastAsia="en-US"/>
        </w:rPr>
        <w:t>（一）可选考的证书</w:t>
      </w:r>
      <w:bookmarkEnd w:id="75"/>
    </w:p>
    <w:p>
      <w:pPr>
        <w:pStyle w:val="3"/>
        <w:spacing w:before="28" w:line="360" w:lineRule="auto"/>
        <w:ind w:right="0" w:firstLine="480" w:firstLineChars="200"/>
        <w:jc w:val="left"/>
        <w:rPr>
          <w:rFonts w:hint="eastAsia" w:asciiTheme="minorEastAsia" w:hAnsiTheme="minorEastAsia" w:eastAsiaTheme="minorEastAsia" w:cstheme="minorEastAsia"/>
          <w:b w:val="0"/>
          <w:sz w:val="24"/>
          <w:szCs w:val="24"/>
          <w:lang w:val="en-US" w:eastAsia="en-US" w:bidi="ar-SA"/>
        </w:rPr>
      </w:pPr>
      <w:bookmarkStart w:id="76" w:name="_Toc25635"/>
      <w:r>
        <w:rPr>
          <w:rFonts w:hint="eastAsia" w:asciiTheme="minorEastAsia" w:hAnsiTheme="minorEastAsia" w:eastAsiaTheme="minorEastAsia" w:cstheme="minorEastAsia"/>
          <w:b w:val="0"/>
          <w:sz w:val="24"/>
          <w:szCs w:val="24"/>
          <w:lang w:val="en-US" w:eastAsia="en-US" w:bidi="ar-SA"/>
        </w:rPr>
        <w:t>网店运营推广（初级）1+X 证书、直播电商（初级）1+X 证书、电子商务数 据分析（初级）1+X 证书、普通话。</w:t>
      </w:r>
      <w:bookmarkEnd w:id="76"/>
    </w:p>
    <w:p>
      <w:pPr>
        <w:pStyle w:val="3"/>
        <w:spacing w:line="240" w:lineRule="auto"/>
        <w:ind w:left="280" w:right="0"/>
        <w:jc w:val="left"/>
        <w:outlineLvl w:val="1"/>
        <w:rPr>
          <w:rFonts w:hint="eastAsia"/>
          <w:spacing w:val="-1"/>
          <w:lang w:val="en-US" w:eastAsia="en-US"/>
        </w:rPr>
      </w:pPr>
      <w:bookmarkStart w:id="77" w:name="_Toc30109"/>
      <w:r>
        <w:rPr>
          <w:rFonts w:hint="eastAsia"/>
          <w:spacing w:val="-1"/>
          <w:lang w:val="en-US" w:eastAsia="en-US"/>
        </w:rPr>
        <w:t>（二）学业达标要求</w:t>
      </w:r>
      <w:bookmarkEnd w:id="77"/>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78" w:name="_Toc29922"/>
      <w:r>
        <w:rPr>
          <w:rFonts w:hint="eastAsia" w:asciiTheme="minorEastAsia" w:hAnsiTheme="minorEastAsia" w:eastAsiaTheme="minorEastAsia" w:cstheme="minorEastAsia"/>
          <w:b w:val="0"/>
          <w:sz w:val="24"/>
          <w:szCs w:val="24"/>
          <w:lang w:val="en-US" w:eastAsia="en-US" w:bidi="ar-SA"/>
        </w:rPr>
        <w:t>1.无纪律处分，思想品德等方面达到学校学籍管理规定（试行）》毕业要求；</w:t>
      </w:r>
      <w:bookmarkEnd w:id="78"/>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79" w:name="_Toc21287"/>
      <w:r>
        <w:rPr>
          <w:rFonts w:hint="eastAsia" w:asciiTheme="minorEastAsia" w:hAnsiTheme="minorEastAsia" w:eastAsiaTheme="minorEastAsia" w:cstheme="minorEastAsia"/>
          <w:b w:val="0"/>
          <w:sz w:val="24"/>
          <w:szCs w:val="24"/>
          <w:lang w:val="en-US" w:eastAsia="en-US" w:bidi="ar-SA"/>
        </w:rPr>
        <w:t>2.文化课结业考试合格；</w:t>
      </w:r>
      <w:bookmarkEnd w:id="79"/>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80" w:name="_Toc32396"/>
      <w:r>
        <w:rPr>
          <w:rFonts w:hint="eastAsia" w:asciiTheme="minorEastAsia" w:hAnsiTheme="minorEastAsia" w:eastAsiaTheme="minorEastAsia" w:cstheme="minorEastAsia"/>
          <w:b w:val="0"/>
          <w:sz w:val="24"/>
          <w:szCs w:val="24"/>
          <w:lang w:val="en-US" w:eastAsia="en-US" w:bidi="ar-SA"/>
        </w:rPr>
        <w:t>3.专业课结业考试合格；</w:t>
      </w:r>
      <w:bookmarkEnd w:id="80"/>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zh-CN" w:bidi="ar-SA"/>
        </w:rPr>
      </w:pPr>
      <w:bookmarkStart w:id="81" w:name="_Toc23153"/>
      <w:r>
        <w:rPr>
          <w:rFonts w:hint="eastAsia" w:asciiTheme="minorEastAsia" w:hAnsiTheme="minorEastAsia" w:eastAsiaTheme="minorEastAsia" w:cstheme="minorEastAsia"/>
          <w:b w:val="0"/>
          <w:sz w:val="24"/>
          <w:szCs w:val="24"/>
          <w:lang w:val="en-US" w:eastAsia="en-US" w:bidi="ar-SA"/>
        </w:rPr>
        <w:t>4.按要求完成校内外行业实践和实习，并考核合格</w:t>
      </w:r>
      <w:r>
        <w:rPr>
          <w:rFonts w:hint="eastAsia" w:asciiTheme="minorEastAsia" w:hAnsiTheme="minorEastAsia" w:eastAsiaTheme="minorEastAsia" w:cstheme="minorEastAsia"/>
          <w:b w:val="0"/>
          <w:sz w:val="24"/>
          <w:szCs w:val="24"/>
          <w:lang w:val="en-US" w:eastAsia="zh-CN" w:bidi="ar-SA"/>
        </w:rPr>
        <w:t>；</w:t>
      </w:r>
      <w:bookmarkEnd w:id="81"/>
    </w:p>
    <w:p>
      <w:pPr>
        <w:pStyle w:val="3"/>
        <w:spacing w:before="28" w:line="360" w:lineRule="auto"/>
        <w:ind w:right="0" w:firstLine="480" w:firstLineChars="200"/>
        <w:jc w:val="left"/>
        <w:outlineLvl w:val="2"/>
        <w:rPr>
          <w:rFonts w:hint="eastAsia" w:asciiTheme="minorEastAsia" w:hAnsiTheme="minorEastAsia" w:eastAsiaTheme="minorEastAsia" w:cstheme="minorEastAsia"/>
          <w:b w:val="0"/>
          <w:sz w:val="24"/>
          <w:szCs w:val="24"/>
          <w:lang w:val="en-US" w:eastAsia="en-US" w:bidi="ar-SA"/>
        </w:rPr>
      </w:pPr>
      <w:bookmarkStart w:id="82" w:name="_Toc23161"/>
      <w:r>
        <w:rPr>
          <w:rFonts w:hint="eastAsia" w:asciiTheme="minorEastAsia" w:hAnsiTheme="minorEastAsia" w:eastAsiaTheme="minorEastAsia" w:cstheme="minorEastAsia"/>
          <w:b w:val="0"/>
          <w:sz w:val="24"/>
          <w:szCs w:val="24"/>
          <w:lang w:val="en-US" w:eastAsia="en-US" w:bidi="ar-SA"/>
        </w:rPr>
        <w:t>5.职业素养要求：具有良好的职业意识和职业操守，注重商务礼仪。</w:t>
      </w:r>
      <w:bookmarkEnd w:id="82"/>
    </w:p>
    <w:p>
      <w:pPr>
        <w:pStyle w:val="2"/>
        <w:spacing w:before="0" w:line="240" w:lineRule="auto"/>
        <w:ind w:left="100" w:right="0"/>
        <w:jc w:val="left"/>
        <w:outlineLvl w:val="0"/>
        <w:rPr>
          <w:b w:val="0"/>
          <w:bCs w:val="0"/>
        </w:rPr>
      </w:pPr>
      <w:bookmarkStart w:id="83" w:name="_Toc21864"/>
      <w:bookmarkStart w:id="84" w:name="_Toc24593"/>
      <w:r>
        <w:t>十、附录</w:t>
      </w:r>
      <w:bookmarkEnd w:id="83"/>
      <w:bookmarkEnd w:id="84"/>
    </w:p>
    <w:p>
      <w:pPr>
        <w:pStyle w:val="3"/>
        <w:spacing w:line="360" w:lineRule="auto"/>
        <w:ind w:left="280" w:right="0"/>
        <w:jc w:val="left"/>
        <w:outlineLvl w:val="1"/>
        <w:rPr>
          <w:rFonts w:hint="eastAsia"/>
          <w:spacing w:val="-1"/>
          <w:lang w:val="en-US" w:eastAsia="en-US"/>
        </w:rPr>
      </w:pPr>
      <w:bookmarkStart w:id="85" w:name="_Toc31330"/>
      <w:bookmarkStart w:id="86" w:name="_Toc4338"/>
      <w:r>
        <w:rPr>
          <w:rFonts w:hint="eastAsia"/>
          <w:spacing w:val="-1"/>
          <w:lang w:val="en-US" w:eastAsia="en-US"/>
        </w:rPr>
        <w:t>（一）附件1：专业教学进程安排表</w:t>
      </w:r>
      <w:bookmarkEnd w:id="85"/>
      <w:bookmarkEnd w:id="86"/>
    </w:p>
    <w:tbl>
      <w:tblPr>
        <w:tblStyle w:val="8"/>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677"/>
        <w:gridCol w:w="936"/>
        <w:gridCol w:w="737"/>
        <w:gridCol w:w="746"/>
        <w:gridCol w:w="588"/>
        <w:gridCol w:w="579"/>
        <w:gridCol w:w="579"/>
        <w:gridCol w:w="579"/>
        <w:gridCol w:w="579"/>
        <w:gridCol w:w="580"/>
        <w:gridCol w:w="692"/>
        <w:gridCol w:w="7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blHeader/>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类别</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名称</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课程</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746"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合计</w:t>
            </w:r>
          </w:p>
        </w:tc>
        <w:tc>
          <w:tcPr>
            <w:tcW w:w="3484" w:type="dxa"/>
            <w:gridSpan w:val="6"/>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w:t>
            </w:r>
            <w:r>
              <w:rPr>
                <w:rStyle w:val="13"/>
                <w:rFonts w:eastAsia="宋体"/>
                <w:lang w:val="en-US" w:eastAsia="zh-CN" w:bidi="ar"/>
              </w:rPr>
              <w:t xml:space="preserve"> </w:t>
            </w:r>
            <w:r>
              <w:rPr>
                <w:rStyle w:val="14"/>
                <w:lang w:val="en-US" w:eastAsia="zh-CN" w:bidi="ar"/>
              </w:rPr>
              <w:t>期</w:t>
            </w:r>
          </w:p>
        </w:tc>
        <w:tc>
          <w:tcPr>
            <w:tcW w:w="692"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方式</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课时</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blHeader/>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46"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579"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580" w:type="dxa"/>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692"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4874CB" w:themeFill="accent1"/>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共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职业道德与法治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中国特色社会主义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语文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英语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体育与健康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商业礼仪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市场营销基础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零售基础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商品拍摄与素材编辑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客户服务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视觉设计与制作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网络推广实务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新媒体营销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新媒体运营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直播销售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直播运营实务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业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商业美术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推销技巧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消费心理学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网上创业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电子商务数据分析（含1+X证书）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必修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办公综合运用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管理学原理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移动商务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心理活动课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8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硬笔书法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8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中华优秀传统文化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8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职业素养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限定选修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军训（周）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0.5周</w:t>
            </w: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18"/>
                <w:szCs w:val="18"/>
                <w:u w:val="none"/>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总课时合计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18"/>
                <w:szCs w:val="18"/>
                <w:u w:val="none"/>
              </w:rPr>
            </w:pPr>
          </w:p>
        </w:tc>
      </w:tr>
    </w:tbl>
    <w:p>
      <w:pPr>
        <w:rPr>
          <w:rFonts w:hint="eastAsia"/>
        </w:rPr>
      </w:pPr>
      <w:r>
        <w:rPr>
          <w:rFonts w:hint="eastAsia"/>
        </w:rPr>
        <w:br w:type="page"/>
      </w:r>
    </w:p>
    <w:p>
      <w:pPr>
        <w:pStyle w:val="3"/>
        <w:spacing w:line="360" w:lineRule="auto"/>
        <w:ind w:left="280" w:right="0"/>
        <w:jc w:val="left"/>
        <w:outlineLvl w:val="1"/>
        <w:rPr>
          <w:rFonts w:hint="eastAsia"/>
          <w:spacing w:val="-1"/>
          <w:lang w:val="en-US" w:eastAsia="en-US"/>
        </w:rPr>
      </w:pPr>
      <w:bookmarkStart w:id="87" w:name="_Toc16643"/>
      <w:r>
        <w:rPr>
          <w:rFonts w:hint="eastAsia"/>
          <w:spacing w:val="-1"/>
          <w:lang w:val="en-US" w:eastAsia="en-US"/>
        </w:rPr>
        <w:t>（</w:t>
      </w:r>
      <w:r>
        <w:rPr>
          <w:rFonts w:hint="eastAsia"/>
          <w:spacing w:val="-1"/>
          <w:lang w:val="en-US" w:eastAsia="zh-CN"/>
        </w:rPr>
        <w:t>二</w:t>
      </w:r>
      <w:r>
        <w:rPr>
          <w:rFonts w:hint="eastAsia"/>
          <w:spacing w:val="-1"/>
          <w:lang w:val="en-US" w:eastAsia="en-US"/>
        </w:rPr>
        <w:t>）</w:t>
      </w:r>
      <w:r>
        <w:rPr>
          <w:spacing w:val="-1"/>
        </w:rPr>
        <w:t>附件2：教学计划变更审批表</w:t>
      </w:r>
      <w:bookmarkEnd w:id="87"/>
    </w:p>
    <w:tbl>
      <w:tblPr>
        <w:tblStyle w:val="8"/>
        <w:tblW w:w="11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9"/>
        <w:gridCol w:w="2172"/>
        <w:gridCol w:w="1460"/>
        <w:gridCol w:w="1040"/>
        <w:gridCol w:w="1920"/>
        <w:gridCol w:w="1040"/>
        <w:gridCol w:w="2130"/>
        <w:gridCol w:w="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 w:type="dxa"/>
          <w:trHeight w:val="53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专业名称</w:t>
            </w:r>
          </w:p>
        </w:tc>
        <w:tc>
          <w:tcPr>
            <w:tcW w:w="46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电子商务</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专业代码</w:t>
            </w: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730701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 w:type="dxa"/>
          <w:trHeight w:val="42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年级</w:t>
            </w:r>
          </w:p>
        </w:tc>
        <w:tc>
          <w:tcPr>
            <w:tcW w:w="46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学制</w:t>
            </w: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 w:type="dxa"/>
          <w:trHeight w:val="68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课程名称</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课程性质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学分</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学时总数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开课学期</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变更状态</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（增加或撤销）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 w:type="dxa"/>
          <w:trHeight w:val="60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原计划</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商品拍摄与图片处理</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 w:type="dxa"/>
          <w:trHeight w:val="4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网店美工</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专业核心课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 w:type="dxa"/>
          <w:trHeight w:val="54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网络营销</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 w:type="dxa"/>
          <w:trHeight w:val="68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调整后计划</w:t>
            </w: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商品拍摄与素材编辑</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专业基础课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调整课程名称及内容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8" w:type="dxa"/>
          <w:trHeight w:val="6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视觉设计与制作</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调整课程名称及内容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 w:type="dxa"/>
          <w:trHeight w:val="6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网络推广实务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调整课程名称及内容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8" w:type="dxa"/>
          <w:trHeight w:val="6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直播运营实务</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专业核心课</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变更理由</w:t>
            </w:r>
          </w:p>
        </w:tc>
        <w:tc>
          <w:tcPr>
            <w:tcW w:w="985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根据中等职业教育电子商务类专业简介（2022年修订）调整了课程类型为专业基 础课、专业核心课和专业拓展课；将商品拍摄与图片处理、网店美工、网络营销修改 为商品拍摄与素材编辑、视觉设计与制作、网络推广实务；同时，根据中等职业教育 电子商务类专业简介（2022年修订）、人才培养需求及岗位变化新增直播运营实务课程。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85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专业部审核</w:t>
            </w:r>
          </w:p>
        </w:tc>
        <w:tc>
          <w:tcPr>
            <w:tcW w:w="9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专业负责人签字：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年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月        </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教务处审核 意见</w:t>
            </w:r>
          </w:p>
        </w:tc>
        <w:tc>
          <w:tcPr>
            <w:tcW w:w="9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教务主任签字：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分管副校长 审核意见</w:t>
            </w:r>
          </w:p>
        </w:tc>
        <w:tc>
          <w:tcPr>
            <w:tcW w:w="9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签字：</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学校党组织 审核意见</w:t>
            </w:r>
          </w:p>
        </w:tc>
        <w:tc>
          <w:tcPr>
            <w:tcW w:w="98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书记（校长）签字：                                              年        月         日</w:t>
            </w:r>
          </w:p>
        </w:tc>
      </w:tr>
    </w:tbl>
    <w:p>
      <w:pPr>
        <w:spacing w:line="360" w:lineRule="auto"/>
        <w:ind w:firstLine="440" w:firstLineChars="200"/>
        <w:rPr>
          <w:rFonts w:hint="eastAsia"/>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76E283"/>
    <w:multiLevelType w:val="singleLevel"/>
    <w:tmpl w:val="A476E283"/>
    <w:lvl w:ilvl="0" w:tentative="0">
      <w:start w:val="7"/>
      <w:numFmt w:val="chineseCounting"/>
      <w:suff w:val="nothing"/>
      <w:lvlText w:val="%1、"/>
      <w:lvlJc w:val="left"/>
      <w:rPr>
        <w:rFonts w:hint="eastAsia"/>
      </w:rPr>
    </w:lvl>
  </w:abstractNum>
  <w:abstractNum w:abstractNumId="1">
    <w:nsid w:val="072B9815"/>
    <w:multiLevelType w:val="singleLevel"/>
    <w:tmpl w:val="072B9815"/>
    <w:lvl w:ilvl="0" w:tentative="0">
      <w:start w:val="8"/>
      <w:numFmt w:val="chineseCounting"/>
      <w:suff w:val="nothing"/>
      <w:lvlText w:val="%1、"/>
      <w:lvlJc w:val="left"/>
      <w:rPr>
        <w:rFonts w:hint="eastAsia"/>
      </w:rPr>
    </w:lvl>
  </w:abstractNum>
  <w:abstractNum w:abstractNumId="2">
    <w:nsid w:val="6C667E30"/>
    <w:multiLevelType w:val="singleLevel"/>
    <w:tmpl w:val="6C667E30"/>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4YzYwOTU2YjNiOGY4MWRhOTEwYzk3ZTAzOTdhNDYifQ=="/>
  </w:docVars>
  <w:rsids>
    <w:rsidRoot w:val="00000000"/>
    <w:rsid w:val="02747742"/>
    <w:rsid w:val="04993158"/>
    <w:rsid w:val="08F34EF9"/>
    <w:rsid w:val="095B6432"/>
    <w:rsid w:val="0BB45FFE"/>
    <w:rsid w:val="0F516F37"/>
    <w:rsid w:val="14A92FBF"/>
    <w:rsid w:val="15EA702B"/>
    <w:rsid w:val="19752E0B"/>
    <w:rsid w:val="1DA84FD8"/>
    <w:rsid w:val="1E7D5CD6"/>
    <w:rsid w:val="21D358FF"/>
    <w:rsid w:val="28FC0955"/>
    <w:rsid w:val="35D00DF7"/>
    <w:rsid w:val="3DC1342A"/>
    <w:rsid w:val="476D7A53"/>
    <w:rsid w:val="4CC425A4"/>
    <w:rsid w:val="4CEB7DFE"/>
    <w:rsid w:val="608C751D"/>
    <w:rsid w:val="6860372F"/>
    <w:rsid w:val="6A2854A1"/>
    <w:rsid w:val="6AB11BD4"/>
    <w:rsid w:val="7125618F"/>
    <w:rsid w:val="76970E1E"/>
    <w:rsid w:val="7886567B"/>
    <w:rsid w:val="7C946702"/>
    <w:rsid w:val="7D20578D"/>
    <w:rsid w:val="7EC16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autoRedefine/>
    <w:qFormat/>
    <w:uiPriority w:val="1"/>
    <w:pPr>
      <w:spacing w:before="144"/>
      <w:ind w:left="140"/>
      <w:outlineLvl w:val="1"/>
    </w:pPr>
    <w:rPr>
      <w:rFonts w:ascii="黑体" w:hAnsi="黑体" w:eastAsia="黑体"/>
      <w:b/>
      <w:bCs/>
      <w:sz w:val="30"/>
      <w:szCs w:val="30"/>
    </w:rPr>
  </w:style>
  <w:style w:type="paragraph" w:styleId="3">
    <w:name w:val="heading 2"/>
    <w:basedOn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qFormat/>
    <w:uiPriority w:val="1"/>
    <w:pPr>
      <w:ind w:left="740"/>
      <w:outlineLvl w:val="3"/>
    </w:pPr>
    <w:rPr>
      <w:rFonts w:ascii="宋体" w:hAnsi="宋体" w:eastAsia="宋体"/>
      <w:b/>
      <w:bCs/>
      <w:sz w:val="24"/>
      <w:szCs w:val="24"/>
    </w:rPr>
  </w:style>
  <w:style w:type="character" w:default="1" w:styleId="9">
    <w:name w:val="Default Paragraph Font"/>
    <w:semiHidden/>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1"/>
    <w:pPr>
      <w:spacing w:before="184"/>
      <w:ind w:left="104" w:firstLine="480"/>
    </w:pPr>
    <w:rPr>
      <w:rFonts w:ascii="宋体" w:hAnsi="宋体" w:eastAsia="宋体"/>
      <w:sz w:val="24"/>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Paragraph"/>
    <w:basedOn w:val="1"/>
    <w:autoRedefine/>
    <w:qFormat/>
    <w:uiPriority w:val="1"/>
  </w:style>
  <w:style w:type="character" w:customStyle="1" w:styleId="11">
    <w:name w:val="font11"/>
    <w:basedOn w:val="9"/>
    <w:autoRedefine/>
    <w:qFormat/>
    <w:uiPriority w:val="0"/>
    <w:rPr>
      <w:rFonts w:hint="eastAsia" w:ascii="宋体" w:hAnsi="宋体" w:eastAsia="宋体" w:cs="宋体"/>
      <w:color w:val="000000"/>
      <w:sz w:val="21"/>
      <w:szCs w:val="21"/>
      <w:u w:val="none"/>
    </w:rPr>
  </w:style>
  <w:style w:type="character" w:customStyle="1" w:styleId="12">
    <w:name w:val="font21"/>
    <w:basedOn w:val="9"/>
    <w:autoRedefine/>
    <w:qFormat/>
    <w:uiPriority w:val="0"/>
    <w:rPr>
      <w:rFonts w:hint="eastAsia" w:ascii="宋体" w:hAnsi="宋体" w:eastAsia="宋体" w:cs="宋体"/>
      <w:color w:val="000000"/>
      <w:sz w:val="21"/>
      <w:szCs w:val="21"/>
      <w:u w:val="none"/>
    </w:rPr>
  </w:style>
  <w:style w:type="character" w:customStyle="1" w:styleId="13">
    <w:name w:val="font61"/>
    <w:basedOn w:val="9"/>
    <w:autoRedefine/>
    <w:qFormat/>
    <w:uiPriority w:val="0"/>
    <w:rPr>
      <w:rFonts w:ascii="Arial" w:hAnsi="Arial" w:cs="Arial"/>
      <w:b/>
      <w:bCs/>
      <w:color w:val="000000"/>
      <w:sz w:val="18"/>
      <w:szCs w:val="18"/>
      <w:u w:val="none"/>
    </w:rPr>
  </w:style>
  <w:style w:type="character" w:customStyle="1" w:styleId="14">
    <w:name w:val="font31"/>
    <w:basedOn w:val="9"/>
    <w:autoRedefine/>
    <w:qFormat/>
    <w:uiPriority w:val="0"/>
    <w:rPr>
      <w:rFonts w:hint="eastAsia" w:ascii="宋体" w:hAnsi="宋体" w:eastAsia="宋体" w:cs="宋体"/>
      <w:b/>
      <w:bCs/>
      <w:color w:val="000000"/>
      <w:sz w:val="18"/>
      <w:szCs w:val="18"/>
      <w:u w:val="none"/>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13379</Words>
  <Characters>13934</Characters>
  <Lines>0</Lines>
  <Paragraphs>0</Paragraphs>
  <TotalTime>23</TotalTime>
  <ScaleCrop>false</ScaleCrop>
  <LinksUpToDate>false</LinksUpToDate>
  <CharactersWithSpaces>14575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向阳</cp:lastModifiedBy>
  <dcterms:modified xsi:type="dcterms:W3CDTF">2024-05-27T04:50:42Z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7F244D2E59314FB7B5896A72A4025D54_13</vt:lpwstr>
  </property>
</Properties>
</file>